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54B9" w14:textId="20CCDA6A" w:rsidR="008F4E79" w:rsidRDefault="00E22E6B" w:rsidP="002D7BEA">
      <w:pPr>
        <w:spacing w:after="0"/>
        <w:rPr>
          <w:noProof/>
        </w:rPr>
      </w:pPr>
      <w:r>
        <w:rPr>
          <w:noProof/>
        </w:rPr>
        <w:t>6/19/2023</w:t>
      </w:r>
    </w:p>
    <w:p w14:paraId="6DE3D3E5" w14:textId="77777777" w:rsidR="00E22E6B" w:rsidRDefault="00E22E6B" w:rsidP="002D7BEA">
      <w:pPr>
        <w:spacing w:after="0"/>
        <w:rPr>
          <w:noProof/>
        </w:rPr>
      </w:pPr>
    </w:p>
    <w:p w14:paraId="7D68CFB0" w14:textId="77777777" w:rsidR="00E22E6B" w:rsidRDefault="00E22E6B" w:rsidP="00E22E6B">
      <w:pPr>
        <w:spacing w:after="0"/>
        <w:rPr>
          <w:noProof/>
        </w:rPr>
      </w:pPr>
      <w:r>
        <w:rPr>
          <w:noProof/>
        </w:rPr>
        <w:t>To:  Mayor and Council</w:t>
      </w:r>
    </w:p>
    <w:p w14:paraId="08C836C0" w14:textId="1FDCF188" w:rsidR="00E22E6B" w:rsidRDefault="00E22E6B" w:rsidP="00E22E6B">
      <w:pPr>
        <w:spacing w:after="0"/>
        <w:rPr>
          <w:noProof/>
        </w:rPr>
      </w:pPr>
      <w:r>
        <w:rPr>
          <w:noProof/>
        </w:rPr>
        <w:t>RE:  Staff Recommendations - Wellstar Variance Request</w:t>
      </w:r>
      <w:r w:rsidR="008F4E79">
        <w:rPr>
          <w:noProof/>
        </w:rPr>
        <w:t xml:space="preserve"> </w:t>
      </w:r>
    </w:p>
    <w:p w14:paraId="0D4635D1" w14:textId="77777777" w:rsidR="008F4E79" w:rsidRDefault="008F4E79" w:rsidP="008F4E79">
      <w:pPr>
        <w:pBdr>
          <w:bottom w:val="single" w:sz="4" w:space="1" w:color="auto"/>
        </w:pBdr>
        <w:spacing w:after="0"/>
        <w:jc w:val="center"/>
        <w:rPr>
          <w:noProof/>
        </w:rPr>
      </w:pPr>
    </w:p>
    <w:p w14:paraId="6711626C" w14:textId="77777777" w:rsidR="00E22E6B" w:rsidRDefault="00E22E6B" w:rsidP="002D7BEA">
      <w:pPr>
        <w:spacing w:after="0"/>
        <w:rPr>
          <w:noProof/>
        </w:rPr>
      </w:pPr>
    </w:p>
    <w:p w14:paraId="4E11F4F7" w14:textId="5844EBA8" w:rsidR="006F1834" w:rsidRDefault="006F1834" w:rsidP="002D7BEA">
      <w:pPr>
        <w:spacing w:after="0"/>
        <w:rPr>
          <w:noProof/>
        </w:rPr>
      </w:pPr>
      <w:r>
        <w:rPr>
          <w:noProof/>
        </w:rPr>
        <w:t>Wellstar</w:t>
      </w:r>
      <w:r w:rsidR="008F4E79">
        <w:rPr>
          <w:noProof/>
        </w:rPr>
        <w:t xml:space="preserve"> has submitted a variance application for development standards listed below.  Staff recommendations are as follows:  </w:t>
      </w:r>
    </w:p>
    <w:p w14:paraId="5DC3FC35" w14:textId="77777777" w:rsidR="008F4E79" w:rsidRDefault="008F4E79" w:rsidP="002D7BEA">
      <w:pPr>
        <w:spacing w:after="0"/>
        <w:rPr>
          <w:noProof/>
        </w:rPr>
      </w:pPr>
    </w:p>
    <w:p w14:paraId="5F1405ED" w14:textId="550577D7" w:rsidR="00156BA9" w:rsidRDefault="00156BA9" w:rsidP="006F1834">
      <w:r>
        <w:t xml:space="preserve">Sec. 40-153 – Design Standards </w:t>
      </w:r>
      <w:r w:rsidR="006F1834">
        <w:t>- horizontal</w:t>
      </w:r>
      <w:r>
        <w:t xml:space="preserve"> minimum radii or centerline curvature</w:t>
      </w:r>
      <w:r w:rsidR="00903E13">
        <w:t xml:space="preserve"> of road</w:t>
      </w:r>
    </w:p>
    <w:p w14:paraId="1C3AFAA9" w14:textId="3D81544F" w:rsidR="005E6992" w:rsidRPr="005E6992" w:rsidRDefault="006F1834" w:rsidP="00903E13">
      <w:pPr>
        <w:pStyle w:val="ListParagraph"/>
        <w:numPr>
          <w:ilvl w:val="1"/>
          <w:numId w:val="6"/>
        </w:numPr>
        <w:rPr>
          <w:b/>
        </w:rPr>
      </w:pPr>
      <w:r w:rsidRPr="005E6992">
        <w:rPr>
          <w:b/>
        </w:rPr>
        <w:t>Staff recommend</w:t>
      </w:r>
      <w:r w:rsidR="00C045FB">
        <w:rPr>
          <w:b/>
        </w:rPr>
        <w:t>s</w:t>
      </w:r>
      <w:r w:rsidR="005E6992" w:rsidRPr="005E6992">
        <w:rPr>
          <w:b/>
        </w:rPr>
        <w:t xml:space="preserve"> approval of </w:t>
      </w:r>
      <w:r w:rsidR="00C045FB">
        <w:rPr>
          <w:b/>
        </w:rPr>
        <w:t>the variance</w:t>
      </w:r>
      <w:r w:rsidR="005E6992" w:rsidRPr="005E6992">
        <w:rPr>
          <w:b/>
        </w:rPr>
        <w:t xml:space="preserve"> on the </w:t>
      </w:r>
      <w:r w:rsidRPr="005E6992">
        <w:rPr>
          <w:b/>
        </w:rPr>
        <w:t xml:space="preserve">centerline radius </w:t>
      </w:r>
      <w:r w:rsidR="00903E13" w:rsidRPr="005E6992">
        <w:rPr>
          <w:b/>
        </w:rPr>
        <w:t xml:space="preserve">from 400 feet </w:t>
      </w:r>
      <w:r w:rsidR="005E6992" w:rsidRPr="005E6992">
        <w:rPr>
          <w:b/>
        </w:rPr>
        <w:t xml:space="preserve">to 150 feet.  </w:t>
      </w:r>
    </w:p>
    <w:p w14:paraId="120D9515" w14:textId="77777777" w:rsidR="005E6992" w:rsidRDefault="005E6992" w:rsidP="005E6992">
      <w:pPr>
        <w:pStyle w:val="ListParagraph"/>
      </w:pPr>
    </w:p>
    <w:p w14:paraId="150A27C1" w14:textId="2621DF38" w:rsidR="006F1834" w:rsidRDefault="00C045FB" w:rsidP="00C045FB">
      <w:pPr>
        <w:pStyle w:val="ListParagraph"/>
      </w:pPr>
      <w:r>
        <w:t xml:space="preserve">This variance will </w:t>
      </w:r>
      <w:r w:rsidR="006F1834">
        <w:t>meet</w:t>
      </w:r>
      <w:r w:rsidR="005E6992">
        <w:t xml:space="preserve"> the minimum design guidelines of the American Association of Highway and Transportation Officials (AASHTO) </w:t>
      </w:r>
      <w:r w:rsidR="006F1834">
        <w:t>as Tucker Road is a local low volume roa</w:t>
      </w:r>
      <w:r w:rsidR="00903E13">
        <w:t xml:space="preserve">d with a speed limit of 25 mph and the curve in question is near the intersection with Hwy 16 where vehicles will be coming to a stop.  </w:t>
      </w:r>
      <w:r w:rsidR="005E6992">
        <w:t xml:space="preserve">There is no safety reason for the </w:t>
      </w:r>
      <w:r w:rsidR="00903E13">
        <w:t>larger cur</w:t>
      </w:r>
      <w:r w:rsidR="005E6992">
        <w:t>ve as dictated by our ordinance.</w:t>
      </w:r>
    </w:p>
    <w:p w14:paraId="3339A485" w14:textId="79927EEB" w:rsidR="00156BA9" w:rsidRDefault="00156BA9" w:rsidP="006F1834">
      <w:r>
        <w:t xml:space="preserve">Sec. 52-10 – Regulations by types of signs </w:t>
      </w:r>
      <w:r w:rsidR="008D031C">
        <w:t>–</w:t>
      </w:r>
      <w:r>
        <w:t xml:space="preserve"> size</w:t>
      </w:r>
      <w:r w:rsidR="008D031C">
        <w:t xml:space="preserve"> (letters and symbols) </w:t>
      </w:r>
      <w:r>
        <w:t xml:space="preserve">and lighting of wall signs </w:t>
      </w:r>
    </w:p>
    <w:p w14:paraId="7CA2ECEA" w14:textId="06A89AB3" w:rsidR="00830C33" w:rsidRPr="005E6992" w:rsidRDefault="00903E13" w:rsidP="006F1834">
      <w:pPr>
        <w:pStyle w:val="ListParagraph"/>
        <w:numPr>
          <w:ilvl w:val="0"/>
          <w:numId w:val="7"/>
        </w:numPr>
        <w:rPr>
          <w:b/>
        </w:rPr>
      </w:pPr>
      <w:r w:rsidRPr="005E6992">
        <w:rPr>
          <w:b/>
        </w:rPr>
        <w:t>Staff recommend</w:t>
      </w:r>
      <w:r w:rsidR="00C045FB">
        <w:rPr>
          <w:b/>
        </w:rPr>
        <w:t>s</w:t>
      </w:r>
      <w:r w:rsidRPr="005E6992">
        <w:rPr>
          <w:b/>
        </w:rPr>
        <w:t xml:space="preserve"> </w:t>
      </w:r>
      <w:r w:rsidR="00C045FB">
        <w:rPr>
          <w:b/>
        </w:rPr>
        <w:t xml:space="preserve">approval of </w:t>
      </w:r>
      <w:r w:rsidR="00830C33" w:rsidRPr="005E6992">
        <w:rPr>
          <w:b/>
        </w:rPr>
        <w:t>the</w:t>
      </w:r>
      <w:r w:rsidRPr="005E6992">
        <w:rPr>
          <w:b/>
        </w:rPr>
        <w:t xml:space="preserve"> variance</w:t>
      </w:r>
      <w:r w:rsidR="008815CA" w:rsidRPr="005E6992">
        <w:rPr>
          <w:b/>
        </w:rPr>
        <w:t xml:space="preserve"> on the size of the </w:t>
      </w:r>
      <w:r w:rsidR="00C045FB">
        <w:rPr>
          <w:b/>
        </w:rPr>
        <w:t>wall si</w:t>
      </w:r>
      <w:bookmarkStart w:id="0" w:name="_GoBack"/>
      <w:bookmarkEnd w:id="0"/>
      <w:r w:rsidR="00C045FB">
        <w:rPr>
          <w:b/>
        </w:rPr>
        <w:t xml:space="preserve">gn </w:t>
      </w:r>
      <w:r w:rsidR="009546DC" w:rsidRPr="005E6992">
        <w:rPr>
          <w:b/>
        </w:rPr>
        <w:t>letters</w:t>
      </w:r>
      <w:r w:rsidR="00D527D7" w:rsidRPr="005E6992">
        <w:rPr>
          <w:b/>
        </w:rPr>
        <w:t xml:space="preserve"> </w:t>
      </w:r>
      <w:r w:rsidR="00830C33" w:rsidRPr="005E6992">
        <w:rPr>
          <w:b/>
        </w:rPr>
        <w:t xml:space="preserve">up to a maximum </w:t>
      </w:r>
      <w:r w:rsidR="00D527D7" w:rsidRPr="005E6992">
        <w:rPr>
          <w:b/>
        </w:rPr>
        <w:t xml:space="preserve">of 24-inches to be consistent with variances </w:t>
      </w:r>
      <w:r w:rsidR="00830C33" w:rsidRPr="005E6992">
        <w:rPr>
          <w:b/>
        </w:rPr>
        <w:t xml:space="preserve">granted for </w:t>
      </w:r>
      <w:r w:rsidR="00D527D7" w:rsidRPr="005E6992">
        <w:rPr>
          <w:b/>
        </w:rPr>
        <w:t>Dunkin and Chick-fil</w:t>
      </w:r>
      <w:r w:rsidR="00BF2C81">
        <w:rPr>
          <w:b/>
        </w:rPr>
        <w:t>-A</w:t>
      </w:r>
      <w:r w:rsidR="00D527D7" w:rsidRPr="005E6992">
        <w:rPr>
          <w:b/>
        </w:rPr>
        <w:t xml:space="preserve">.  </w:t>
      </w:r>
    </w:p>
    <w:p w14:paraId="498DD68C" w14:textId="77777777" w:rsidR="00830C33" w:rsidRDefault="00830C33" w:rsidP="00830C33">
      <w:pPr>
        <w:pStyle w:val="ListParagraph"/>
      </w:pPr>
    </w:p>
    <w:p w14:paraId="7179E9CD" w14:textId="010929A6" w:rsidR="00830C33" w:rsidRDefault="00830C33" w:rsidP="006F1834">
      <w:pPr>
        <w:pStyle w:val="ListParagraph"/>
        <w:numPr>
          <w:ilvl w:val="0"/>
          <w:numId w:val="7"/>
        </w:numPr>
      </w:pPr>
      <w:r w:rsidRPr="005E6992">
        <w:rPr>
          <w:b/>
        </w:rPr>
        <w:t>Staff recommends denial of the variance to increase the size of the symbol</w:t>
      </w:r>
      <w:r w:rsidR="00C045FB">
        <w:rPr>
          <w:b/>
        </w:rPr>
        <w:t xml:space="preserve"> in the wall sign</w:t>
      </w:r>
      <w:r w:rsidRPr="005E6992">
        <w:rPr>
          <w:b/>
        </w:rPr>
        <w:t xml:space="preserve"> to 54-inches</w:t>
      </w:r>
      <w:r>
        <w:t xml:space="preserve">. The ordinance allows symbols </w:t>
      </w:r>
      <w:r w:rsidR="00D527D7">
        <w:t xml:space="preserve">to be 36-inches </w:t>
      </w:r>
      <w:r>
        <w:t xml:space="preserve">and to increase to </w:t>
      </w:r>
      <w:r w:rsidR="00D527D7">
        <w:t xml:space="preserve">54-inches </w:t>
      </w:r>
      <w:r>
        <w:t xml:space="preserve">would </w:t>
      </w:r>
      <w:r w:rsidR="00D527D7">
        <w:t xml:space="preserve">represent a 50% increase in size which </w:t>
      </w:r>
      <w:r>
        <w:t xml:space="preserve">has not been </w:t>
      </w:r>
      <w:r w:rsidR="006815D7">
        <w:t>approved</w:t>
      </w:r>
      <w:r>
        <w:t xml:space="preserve"> in the overlay.</w:t>
      </w:r>
      <w:r w:rsidR="00D527D7">
        <w:t xml:space="preserve">  </w:t>
      </w:r>
    </w:p>
    <w:p w14:paraId="0E3D1ABB" w14:textId="77777777" w:rsidR="00830C33" w:rsidRDefault="00830C33" w:rsidP="00830C33">
      <w:pPr>
        <w:pStyle w:val="ListParagraph"/>
      </w:pPr>
    </w:p>
    <w:p w14:paraId="414F8C17" w14:textId="0D344E57" w:rsidR="006F1834" w:rsidRDefault="00830C33" w:rsidP="00830C33">
      <w:pPr>
        <w:pStyle w:val="ListParagraph"/>
        <w:numPr>
          <w:ilvl w:val="0"/>
          <w:numId w:val="7"/>
        </w:numPr>
      </w:pPr>
      <w:r w:rsidRPr="005E6992">
        <w:rPr>
          <w:b/>
        </w:rPr>
        <w:t>Staff recommend</w:t>
      </w:r>
      <w:r w:rsidR="00C045FB">
        <w:rPr>
          <w:b/>
        </w:rPr>
        <w:t>s</w:t>
      </w:r>
      <w:r w:rsidRPr="005E6992">
        <w:rPr>
          <w:b/>
        </w:rPr>
        <w:t xml:space="preserve"> denial of the variance for </w:t>
      </w:r>
      <w:r w:rsidR="00C045FB">
        <w:rPr>
          <w:b/>
        </w:rPr>
        <w:t>internal</w:t>
      </w:r>
      <w:r w:rsidRPr="005E6992">
        <w:rPr>
          <w:b/>
        </w:rPr>
        <w:t xml:space="preserve"> lighting on the wall sign to be consistent</w:t>
      </w:r>
      <w:r w:rsidR="00C045FB">
        <w:rPr>
          <w:b/>
        </w:rPr>
        <w:t xml:space="preserve"> with similar </w:t>
      </w:r>
      <w:r w:rsidR="006815D7">
        <w:rPr>
          <w:b/>
        </w:rPr>
        <w:t>requests</w:t>
      </w:r>
      <w:r w:rsidR="00C045FB">
        <w:rPr>
          <w:b/>
        </w:rPr>
        <w:t xml:space="preserve"> </w:t>
      </w:r>
      <w:r w:rsidRPr="005E6992">
        <w:rPr>
          <w:b/>
        </w:rPr>
        <w:t>denied in the area.</w:t>
      </w:r>
      <w:r>
        <w:t xml:space="preserve">  Staff acknowledges that while v</w:t>
      </w:r>
      <w:r w:rsidR="00D527D7">
        <w:t xml:space="preserve">ariances have been granted in the past for both </w:t>
      </w:r>
      <w:r>
        <w:t xml:space="preserve">the </w:t>
      </w:r>
      <w:r w:rsidR="00D527D7">
        <w:t xml:space="preserve">size of letters and internal lighting at </w:t>
      </w:r>
      <w:r>
        <w:t xml:space="preserve">the </w:t>
      </w:r>
      <w:r w:rsidR="00D527D7">
        <w:t>Publix</w:t>
      </w:r>
      <w:r>
        <w:t xml:space="preserve">, this variance has not </w:t>
      </w:r>
      <w:r w:rsidR="006815D7">
        <w:t xml:space="preserve">been approved since Publix and </w:t>
      </w:r>
      <w:r>
        <w:t>there is no</w:t>
      </w:r>
      <w:r w:rsidR="006815D7">
        <w:t xml:space="preserve"> </w:t>
      </w:r>
      <w:r>
        <w:t>hardship as the</w:t>
      </w:r>
      <w:r w:rsidR="006815D7">
        <w:t xml:space="preserve"> applicant can still have </w:t>
      </w:r>
      <w:r>
        <w:t>halo lighting</w:t>
      </w:r>
      <w:r w:rsidR="006815D7">
        <w:t xml:space="preserve"> on the wall sign. </w:t>
      </w:r>
      <w:r>
        <w:t xml:space="preserve"> </w:t>
      </w:r>
      <w:r w:rsidR="008815CA">
        <w:t xml:space="preserve"> </w:t>
      </w:r>
      <w:r w:rsidR="006F1834">
        <w:t xml:space="preserve"> </w:t>
      </w:r>
    </w:p>
    <w:p w14:paraId="05BD5533" w14:textId="2C16AA5F" w:rsidR="00156BA9" w:rsidRDefault="00156BA9" w:rsidP="006F1834">
      <w:r w:rsidRPr="00156BA9">
        <w:t>Sec. 74-186</w:t>
      </w:r>
      <w:r w:rsidR="002C3E9C">
        <w:t xml:space="preserve"> (e)</w:t>
      </w:r>
      <w:r>
        <w:t xml:space="preserve"> - location of parking</w:t>
      </w:r>
    </w:p>
    <w:p w14:paraId="4AF047E2" w14:textId="28DB5120" w:rsidR="00830C33" w:rsidRPr="00830C33" w:rsidRDefault="008815CA" w:rsidP="006F1834">
      <w:pPr>
        <w:pStyle w:val="ListParagraph"/>
        <w:numPr>
          <w:ilvl w:val="0"/>
          <w:numId w:val="7"/>
        </w:numPr>
      </w:pPr>
      <w:r w:rsidRPr="00830C33">
        <w:rPr>
          <w:b/>
        </w:rPr>
        <w:t>Staff recomm</w:t>
      </w:r>
      <w:r w:rsidR="00D76138" w:rsidRPr="00830C33">
        <w:rPr>
          <w:b/>
        </w:rPr>
        <w:t>end</w:t>
      </w:r>
      <w:r w:rsidR="00C045FB">
        <w:rPr>
          <w:b/>
        </w:rPr>
        <w:t>s</w:t>
      </w:r>
      <w:r w:rsidR="00D76138" w:rsidRPr="00830C33">
        <w:rPr>
          <w:b/>
        </w:rPr>
        <w:t xml:space="preserve"> approval of </w:t>
      </w:r>
      <w:r w:rsidR="00830C33" w:rsidRPr="00830C33">
        <w:rPr>
          <w:b/>
        </w:rPr>
        <w:t>the variance on the parking with a condition that bicycle parking (bike racks) must be included.</w:t>
      </w:r>
    </w:p>
    <w:p w14:paraId="6E06C91F" w14:textId="77777777" w:rsidR="00830C33" w:rsidRDefault="00830C33" w:rsidP="00830C33">
      <w:pPr>
        <w:pStyle w:val="ListParagraph"/>
      </w:pPr>
    </w:p>
    <w:p w14:paraId="7C92BE46" w14:textId="2FE6220F" w:rsidR="006F1834" w:rsidRDefault="00D76138" w:rsidP="006F1834">
      <w:pPr>
        <w:pStyle w:val="ListParagraph"/>
        <w:numPr>
          <w:ilvl w:val="0"/>
          <w:numId w:val="7"/>
        </w:numPr>
      </w:pPr>
      <w:r>
        <w:t>The</w:t>
      </w:r>
      <w:r w:rsidR="00830C33">
        <w:t xml:space="preserve"> overlay </w:t>
      </w:r>
      <w:r>
        <w:t xml:space="preserve">ordinance uses required parking as the metric and in this case the applicant is proposing more parking than required but still meets </w:t>
      </w:r>
      <w:r w:rsidR="00830C33">
        <w:t xml:space="preserve">layout restrictions of </w:t>
      </w:r>
      <w:r>
        <w:t xml:space="preserve">25% max in front </w:t>
      </w:r>
      <w:r w:rsidR="00830C33">
        <w:t>and 50% on sides and remainder in the rear</w:t>
      </w:r>
      <w:r w:rsidR="009546DC">
        <w:t xml:space="preserve">. </w:t>
      </w:r>
    </w:p>
    <w:p w14:paraId="55D25044" w14:textId="77777777" w:rsidR="00E231CA" w:rsidRDefault="00E231CA" w:rsidP="006F1834"/>
    <w:p w14:paraId="3552767D" w14:textId="77777777" w:rsidR="00E231CA" w:rsidRDefault="00E231CA" w:rsidP="006F1834"/>
    <w:p w14:paraId="6C317956" w14:textId="77777777" w:rsidR="00E231CA" w:rsidRDefault="00E231CA" w:rsidP="006F1834"/>
    <w:p w14:paraId="6DF6B8EF" w14:textId="77777777" w:rsidR="009A547F" w:rsidRDefault="009A547F" w:rsidP="006F1834"/>
    <w:p w14:paraId="6BA14DA5" w14:textId="18401873" w:rsidR="00156BA9" w:rsidRDefault="00156BA9" w:rsidP="006F1834">
      <w:r>
        <w:t>Sec. 74-185</w:t>
      </w:r>
      <w:r w:rsidR="002C3E9C">
        <w:t xml:space="preserve"> (c)</w:t>
      </w:r>
      <w:r>
        <w:t xml:space="preserve"> –</w:t>
      </w:r>
      <w:r w:rsidR="002C3E9C">
        <w:t xml:space="preserve"> </w:t>
      </w:r>
      <w:r>
        <w:t xml:space="preserve">site </w:t>
      </w:r>
      <w:r w:rsidR="00E231CA">
        <w:t>development -</w:t>
      </w:r>
      <w:r w:rsidR="00C045FB">
        <w:t xml:space="preserve"> mass grading</w:t>
      </w:r>
    </w:p>
    <w:p w14:paraId="1C6497CF" w14:textId="034DC4F2" w:rsidR="009546DC" w:rsidRPr="005E6992" w:rsidRDefault="009546DC" w:rsidP="009546DC">
      <w:pPr>
        <w:pStyle w:val="ListParagraph"/>
        <w:numPr>
          <w:ilvl w:val="0"/>
          <w:numId w:val="7"/>
        </w:numPr>
        <w:rPr>
          <w:b/>
        </w:rPr>
      </w:pPr>
      <w:r w:rsidRPr="005E6992">
        <w:rPr>
          <w:b/>
        </w:rPr>
        <w:t>Staff recommend</w:t>
      </w:r>
      <w:r w:rsidR="00C045FB">
        <w:rPr>
          <w:b/>
        </w:rPr>
        <w:t>s</w:t>
      </w:r>
      <w:r w:rsidRPr="005E6992">
        <w:rPr>
          <w:b/>
        </w:rPr>
        <w:t xml:space="preserve"> approval of</w:t>
      </w:r>
      <w:r w:rsidR="00C045FB">
        <w:rPr>
          <w:b/>
        </w:rPr>
        <w:t xml:space="preserve"> the</w:t>
      </w:r>
      <w:r w:rsidRPr="005E6992">
        <w:rPr>
          <w:b/>
        </w:rPr>
        <w:t xml:space="preserve"> varia</w:t>
      </w:r>
      <w:r w:rsidR="00862A35" w:rsidRPr="005E6992">
        <w:rPr>
          <w:b/>
        </w:rPr>
        <w:t xml:space="preserve">nce </w:t>
      </w:r>
      <w:r w:rsidR="00C045FB">
        <w:rPr>
          <w:b/>
        </w:rPr>
        <w:t xml:space="preserve">to allow mass grading which is typical for commercial development. </w:t>
      </w:r>
      <w:r w:rsidR="00862A35" w:rsidRPr="005E6992">
        <w:rPr>
          <w:b/>
        </w:rPr>
        <w:t xml:space="preserve">  </w:t>
      </w:r>
      <w:r w:rsidRPr="005E6992">
        <w:rPr>
          <w:b/>
        </w:rPr>
        <w:t xml:space="preserve"> </w:t>
      </w:r>
    </w:p>
    <w:p w14:paraId="7E31A6C5" w14:textId="7A984CD5" w:rsidR="00156BA9" w:rsidRDefault="002C3E9C" w:rsidP="006F1834">
      <w:r>
        <w:t>Sec. 74-191(</w:t>
      </w:r>
      <w:r w:rsidR="005E6992">
        <w:t>f) –</w:t>
      </w:r>
      <w:r w:rsidR="00C045FB">
        <w:t xml:space="preserve"> landscaping -</w:t>
      </w:r>
      <w:r w:rsidR="00862A35">
        <w:t>cano</w:t>
      </w:r>
      <w:r w:rsidR="009F3BD9">
        <w:t>py trees requir</w:t>
      </w:r>
      <w:r w:rsidR="00C045FB">
        <w:t>ed</w:t>
      </w:r>
    </w:p>
    <w:p w14:paraId="30AB7155" w14:textId="1A37E076" w:rsidR="00987936" w:rsidRDefault="005E6992" w:rsidP="005E6992">
      <w:pPr>
        <w:pStyle w:val="ListParagraph"/>
        <w:numPr>
          <w:ilvl w:val="0"/>
          <w:numId w:val="7"/>
        </w:numPr>
        <w:rPr>
          <w:b/>
        </w:rPr>
      </w:pPr>
      <w:r w:rsidRPr="005E6992">
        <w:rPr>
          <w:b/>
        </w:rPr>
        <w:t>Staff recommend</w:t>
      </w:r>
      <w:r w:rsidR="00C045FB">
        <w:rPr>
          <w:b/>
        </w:rPr>
        <w:t>s</w:t>
      </w:r>
      <w:r w:rsidRPr="005E6992">
        <w:rPr>
          <w:b/>
        </w:rPr>
        <w:t xml:space="preserve"> approval of the </w:t>
      </w:r>
      <w:r>
        <w:rPr>
          <w:b/>
        </w:rPr>
        <w:t xml:space="preserve">variance to reduce the number of </w:t>
      </w:r>
      <w:r w:rsidRPr="005E6992">
        <w:rPr>
          <w:b/>
        </w:rPr>
        <w:t>canopy tree</w:t>
      </w:r>
      <w:r w:rsidR="00E231CA">
        <w:rPr>
          <w:b/>
        </w:rPr>
        <w:t>s</w:t>
      </w:r>
      <w:r w:rsidRPr="005E6992">
        <w:rPr>
          <w:b/>
        </w:rPr>
        <w:t xml:space="preserve"> required with the following condition</w:t>
      </w:r>
      <w:r w:rsidR="00C045FB">
        <w:rPr>
          <w:b/>
        </w:rPr>
        <w:t>s</w:t>
      </w:r>
      <w:r w:rsidRPr="005E6992">
        <w:rPr>
          <w:b/>
        </w:rPr>
        <w:t xml:space="preserve">:  </w:t>
      </w:r>
    </w:p>
    <w:p w14:paraId="4F738ED6" w14:textId="77777777" w:rsidR="00987936" w:rsidRDefault="00987936" w:rsidP="00987936">
      <w:pPr>
        <w:pStyle w:val="ListParagraph"/>
        <w:rPr>
          <w:b/>
        </w:rPr>
      </w:pPr>
    </w:p>
    <w:p w14:paraId="2CCF8FE9" w14:textId="242836A4" w:rsidR="00987936" w:rsidRDefault="00E231CA" w:rsidP="0098793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Canopy </w:t>
      </w:r>
      <w:r w:rsidR="00987936" w:rsidRPr="00987936">
        <w:rPr>
          <w:b/>
        </w:rPr>
        <w:t xml:space="preserve">trees planted </w:t>
      </w:r>
      <w:r>
        <w:rPr>
          <w:b/>
        </w:rPr>
        <w:t xml:space="preserve">onsite </w:t>
      </w:r>
      <w:r w:rsidR="00987936" w:rsidRPr="00987936">
        <w:rPr>
          <w:b/>
        </w:rPr>
        <w:t>must meet the minimum diameter</w:t>
      </w:r>
      <w:r>
        <w:rPr>
          <w:b/>
        </w:rPr>
        <w:t xml:space="preserve"> inches per </w:t>
      </w:r>
      <w:r w:rsidR="00987936" w:rsidRPr="00987936">
        <w:rPr>
          <w:b/>
        </w:rPr>
        <w:t xml:space="preserve">acre </w:t>
      </w:r>
      <w:r>
        <w:rPr>
          <w:b/>
        </w:rPr>
        <w:t xml:space="preserve">(DBH-inches/acre) </w:t>
      </w:r>
      <w:r w:rsidR="00987936" w:rsidRPr="00987936">
        <w:rPr>
          <w:b/>
        </w:rPr>
        <w:t>of the tree preservation ordinance (Sec. 30-102) and density and size requirements of the land development regulation</w:t>
      </w:r>
      <w:r w:rsidR="00987936">
        <w:rPr>
          <w:b/>
        </w:rPr>
        <w:t xml:space="preserve"> (Sec. 40-229),</w:t>
      </w:r>
    </w:p>
    <w:p w14:paraId="5639176D" w14:textId="77777777" w:rsidR="00987936" w:rsidRPr="00987936" w:rsidRDefault="00987936" w:rsidP="00987936">
      <w:pPr>
        <w:pStyle w:val="ListParagraph"/>
        <w:ind w:left="1440"/>
        <w:rPr>
          <w:b/>
        </w:rPr>
      </w:pPr>
    </w:p>
    <w:p w14:paraId="62053777" w14:textId="65401471" w:rsidR="00987936" w:rsidRDefault="00987936" w:rsidP="0098793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All landscaping must be covered by a maintenance bond in the amount of 150% of installed cost for a minimum of 3 years after installation.</w:t>
      </w:r>
    </w:p>
    <w:p w14:paraId="1FEBBD24" w14:textId="77777777" w:rsidR="006815D7" w:rsidRPr="006815D7" w:rsidRDefault="006815D7" w:rsidP="006815D7">
      <w:pPr>
        <w:pStyle w:val="ListParagraph"/>
        <w:rPr>
          <w:b/>
        </w:rPr>
      </w:pPr>
    </w:p>
    <w:p w14:paraId="665D2F48" w14:textId="22FEC350" w:rsidR="006815D7" w:rsidRPr="00987936" w:rsidRDefault="00E231CA" w:rsidP="0098793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Trees that are not able to be physically planted onsite using the above standards will be mitigated by a contribution to the tree replacement fund. </w:t>
      </w:r>
    </w:p>
    <w:p w14:paraId="483F4DD2" w14:textId="77777777" w:rsidR="00C045FB" w:rsidRDefault="00C045FB" w:rsidP="00C045FB">
      <w:pPr>
        <w:pStyle w:val="ListParagraph"/>
        <w:ind w:left="1440"/>
        <w:rPr>
          <w:b/>
        </w:rPr>
      </w:pPr>
    </w:p>
    <w:p w14:paraId="38B417B2" w14:textId="4C5F475E" w:rsidR="00987936" w:rsidRDefault="00987936" w:rsidP="006815D7">
      <w:pPr>
        <w:pStyle w:val="ListParagraph"/>
      </w:pPr>
      <w:r>
        <w:t>Staff acknowledges that the o</w:t>
      </w:r>
      <w:r w:rsidR="00862A35">
        <w:t xml:space="preserve">verlay requirements of 1 </w:t>
      </w:r>
      <w:r w:rsidR="006815D7">
        <w:t xml:space="preserve">canopy </w:t>
      </w:r>
      <w:r w:rsidR="00862A35">
        <w:t>tree per 250 square feet of landscape area w</w:t>
      </w:r>
      <w:r w:rsidR="006815D7">
        <w:t xml:space="preserve">ill result in </w:t>
      </w:r>
      <w:r w:rsidR="00862A35">
        <w:t>too many trees planted too close together</w:t>
      </w:r>
      <w:r w:rsidR="006815D7">
        <w:t xml:space="preserve"> and could limit the </w:t>
      </w:r>
      <w:r w:rsidR="00862A35">
        <w:t>overall health and longevity of the trees.  The tree preservation ordinance requires (80 DBH</w:t>
      </w:r>
      <w:r w:rsidR="009F3BD9">
        <w:t xml:space="preserve"> inches</w:t>
      </w:r>
      <w:r w:rsidR="00862A35">
        <w:t xml:space="preserve">/acre) and the </w:t>
      </w:r>
      <w:r w:rsidR="009F3BD9">
        <w:t>proposed</w:t>
      </w:r>
      <w:r w:rsidR="00862A35">
        <w:t xml:space="preserve"> </w:t>
      </w:r>
      <w:r w:rsidR="009F3BD9">
        <w:t xml:space="preserve">landscape </w:t>
      </w:r>
      <w:r w:rsidR="00862A35">
        <w:t>plan provides</w:t>
      </w:r>
      <w:r w:rsidR="009F3BD9">
        <w:t xml:space="preserve"> 74 DBH inches/acre. </w:t>
      </w:r>
      <w:r w:rsidR="005E6992">
        <w:t xml:space="preserve"> </w:t>
      </w:r>
      <w:r w:rsidR="00E231CA">
        <w:t>Staff will work with applicant to achieve the minimum of 80 DBH inches/acre.</w:t>
      </w:r>
    </w:p>
    <w:p w14:paraId="2F27EB02" w14:textId="502184CF" w:rsidR="008F4E79" w:rsidRDefault="005E6992" w:rsidP="005E6992">
      <w:r>
        <w:t>Sec. 74-191(g</w:t>
      </w:r>
      <w:r w:rsidR="00C045FB">
        <w:t xml:space="preserve">) – </w:t>
      </w:r>
      <w:r w:rsidR="00987936">
        <w:t>landscaping -</w:t>
      </w:r>
      <w:r w:rsidR="00C045FB">
        <w:t xml:space="preserve"> </w:t>
      </w:r>
      <w:r w:rsidRPr="005E6992">
        <w:t>minimum</w:t>
      </w:r>
      <w:r>
        <w:t xml:space="preserve"> 20% of 12-inch </w:t>
      </w:r>
      <w:r w:rsidRPr="005E6992">
        <w:t xml:space="preserve">trees </w:t>
      </w:r>
      <w:r>
        <w:t xml:space="preserve">to be </w:t>
      </w:r>
      <w:r w:rsidR="00C045FB">
        <w:t>saved</w:t>
      </w:r>
    </w:p>
    <w:p w14:paraId="65AECAD3" w14:textId="07736C7C" w:rsidR="005E6992" w:rsidRPr="00BF2C81" w:rsidRDefault="005E6992" w:rsidP="005E6992">
      <w:pPr>
        <w:pStyle w:val="ListParagraph"/>
        <w:numPr>
          <w:ilvl w:val="0"/>
          <w:numId w:val="10"/>
        </w:numPr>
        <w:rPr>
          <w:b/>
        </w:rPr>
      </w:pPr>
      <w:r w:rsidRPr="00BF2C81">
        <w:rPr>
          <w:b/>
        </w:rPr>
        <w:t>Staff recommend</w:t>
      </w:r>
      <w:r w:rsidR="00E231CA">
        <w:rPr>
          <w:b/>
        </w:rPr>
        <w:t>s</w:t>
      </w:r>
      <w:r w:rsidRPr="00BF2C81">
        <w:rPr>
          <w:b/>
        </w:rPr>
        <w:t xml:space="preserve"> approval of the variance to reduce the percentage of 12-inch or larger trees saved from 20% to 8% with the condition that the </w:t>
      </w:r>
      <w:r w:rsidR="00BF2C81" w:rsidRPr="00BF2C81">
        <w:rPr>
          <w:b/>
        </w:rPr>
        <w:t>appl</w:t>
      </w:r>
      <w:r w:rsidR="004C6715">
        <w:rPr>
          <w:b/>
        </w:rPr>
        <w:t xml:space="preserve">icant mitigate the cost of the specimen trees to be removed </w:t>
      </w:r>
      <w:r w:rsidR="00BF2C81" w:rsidRPr="00BF2C81">
        <w:rPr>
          <w:b/>
        </w:rPr>
        <w:t xml:space="preserve">by a contribution to the tree replacement fund. </w:t>
      </w:r>
    </w:p>
    <w:p w14:paraId="05205AD1" w14:textId="13AAA555" w:rsidR="009A547F" w:rsidRDefault="009A547F" w:rsidP="00BF2C81">
      <w:pPr>
        <w:pStyle w:val="ListParagraph"/>
      </w:pPr>
    </w:p>
    <w:p w14:paraId="099984EC" w14:textId="4B9F883D" w:rsidR="00BF2C81" w:rsidRDefault="00BF2C81" w:rsidP="00E231CA">
      <w:pPr>
        <w:pStyle w:val="ListParagraph"/>
      </w:pPr>
      <w:r>
        <w:t xml:space="preserve">The table below details the specimen trees that are to be removed and the approximate replacement inches required for calculation of tree fund contribution. </w:t>
      </w:r>
      <w:r w:rsidR="00ED7077">
        <w:t xml:space="preserve"> </w:t>
      </w:r>
    </w:p>
    <w:p w14:paraId="60602D40" w14:textId="77777777" w:rsidR="00BF2C81" w:rsidRDefault="00BF2C81" w:rsidP="00BF2C81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010"/>
        <w:gridCol w:w="1062"/>
        <w:gridCol w:w="1295"/>
        <w:gridCol w:w="1898"/>
      </w:tblGrid>
      <w:tr w:rsidR="00ED7077" w14:paraId="0F6300B4" w14:textId="54459BEF" w:rsidTr="00ED7077">
        <w:trPr>
          <w:jc w:val="center"/>
        </w:trPr>
        <w:tc>
          <w:tcPr>
            <w:tcW w:w="1380" w:type="dxa"/>
            <w:shd w:val="clear" w:color="auto" w:fill="D9E2F3" w:themeFill="accent1" w:themeFillTint="33"/>
          </w:tcPr>
          <w:p w14:paraId="1B580AFB" w14:textId="44C0D189" w:rsidR="00ED7077" w:rsidRDefault="00ED7077" w:rsidP="00BF2C81">
            <w:pPr>
              <w:pStyle w:val="ListParagraph"/>
              <w:ind w:left="0"/>
              <w:jc w:val="center"/>
            </w:pPr>
            <w:r>
              <w:t>SPECIMEN TREE</w:t>
            </w:r>
          </w:p>
        </w:tc>
        <w:tc>
          <w:tcPr>
            <w:tcW w:w="1010" w:type="dxa"/>
            <w:shd w:val="clear" w:color="auto" w:fill="D9E2F3" w:themeFill="accent1" w:themeFillTint="33"/>
          </w:tcPr>
          <w:p w14:paraId="7B9836DE" w14:textId="1DB939DF" w:rsidR="00ED7077" w:rsidRDefault="00ED7077" w:rsidP="00BF2C81">
            <w:pPr>
              <w:pStyle w:val="ListParagraph"/>
              <w:ind w:left="0"/>
              <w:jc w:val="center"/>
            </w:pPr>
            <w:r>
              <w:t>SIZE (INCHES)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47084A78" w14:textId="302EAE45" w:rsidR="00ED7077" w:rsidRDefault="00ED7077" w:rsidP="00BF2C81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1295" w:type="dxa"/>
            <w:shd w:val="clear" w:color="auto" w:fill="D9E2F3" w:themeFill="accent1" w:themeFillTint="33"/>
          </w:tcPr>
          <w:p w14:paraId="1461A4A3" w14:textId="77777777" w:rsidR="00ED7077" w:rsidRDefault="00ED7077" w:rsidP="00BF2C81">
            <w:pPr>
              <w:pStyle w:val="ListParagraph"/>
              <w:ind w:left="0"/>
              <w:jc w:val="center"/>
            </w:pPr>
            <w:r>
              <w:t xml:space="preserve">INCHES </w:t>
            </w:r>
          </w:p>
          <w:p w14:paraId="4CA0F175" w14:textId="102B2897" w:rsidR="00ED7077" w:rsidRDefault="00ED7077" w:rsidP="00BF2C81">
            <w:pPr>
              <w:pStyle w:val="ListParagraph"/>
              <w:ind w:left="0"/>
              <w:jc w:val="center"/>
            </w:pPr>
            <w:r>
              <w:t>REMOVED</w:t>
            </w:r>
          </w:p>
        </w:tc>
        <w:tc>
          <w:tcPr>
            <w:tcW w:w="1898" w:type="dxa"/>
            <w:shd w:val="clear" w:color="auto" w:fill="D9E2F3" w:themeFill="accent1" w:themeFillTint="33"/>
          </w:tcPr>
          <w:p w14:paraId="3FB445D0" w14:textId="5734E090" w:rsidR="00ED7077" w:rsidRDefault="0095423C" w:rsidP="00BF2C81">
            <w:pPr>
              <w:pStyle w:val="ListParagraph"/>
              <w:ind w:left="0"/>
              <w:jc w:val="center"/>
            </w:pPr>
            <w:r>
              <w:t>Equivalent</w:t>
            </w:r>
            <w:r w:rsidR="00ED7077">
              <w:t xml:space="preserve"> </w:t>
            </w:r>
          </w:p>
          <w:p w14:paraId="197DEFBE" w14:textId="31CD4EB2" w:rsidR="00ED7077" w:rsidRDefault="0095423C" w:rsidP="00ED7077">
            <w:pPr>
              <w:pStyle w:val="ListParagraph"/>
              <w:ind w:left="0"/>
              <w:jc w:val="center"/>
            </w:pPr>
            <w:r>
              <w:t>2-inch trees</w:t>
            </w:r>
          </w:p>
        </w:tc>
      </w:tr>
      <w:tr w:rsidR="00ED7077" w14:paraId="2BBFADB6" w14:textId="68483EE0" w:rsidTr="00ED7077">
        <w:trPr>
          <w:jc w:val="center"/>
        </w:trPr>
        <w:tc>
          <w:tcPr>
            <w:tcW w:w="1380" w:type="dxa"/>
          </w:tcPr>
          <w:p w14:paraId="341ABE30" w14:textId="0D569414" w:rsidR="00ED7077" w:rsidRDefault="00ED7077" w:rsidP="00BF2C81">
            <w:pPr>
              <w:pStyle w:val="ListParagraph"/>
              <w:ind w:left="0"/>
              <w:jc w:val="center"/>
            </w:pPr>
            <w:r>
              <w:t>Water Oak</w:t>
            </w:r>
          </w:p>
        </w:tc>
        <w:tc>
          <w:tcPr>
            <w:tcW w:w="1010" w:type="dxa"/>
          </w:tcPr>
          <w:p w14:paraId="00FF0298" w14:textId="14B526A1" w:rsidR="00ED7077" w:rsidRDefault="00ED7077" w:rsidP="00BF2C81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062" w:type="dxa"/>
          </w:tcPr>
          <w:p w14:paraId="52133BD0" w14:textId="001AEC7E" w:rsidR="00ED7077" w:rsidRDefault="00ED7077" w:rsidP="00BF2C8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5" w:type="dxa"/>
          </w:tcPr>
          <w:p w14:paraId="42787A76" w14:textId="1AF42483" w:rsidR="00ED7077" w:rsidRDefault="00ED7077" w:rsidP="00BF2C81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898" w:type="dxa"/>
          </w:tcPr>
          <w:p w14:paraId="46EA760D" w14:textId="09DCDF78" w:rsidR="00ED7077" w:rsidRDefault="00ED7077" w:rsidP="00BF2C81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ED7077" w14:paraId="4F4676B6" w14:textId="5B57AE5A" w:rsidTr="00ED7077">
        <w:trPr>
          <w:jc w:val="center"/>
        </w:trPr>
        <w:tc>
          <w:tcPr>
            <w:tcW w:w="1380" w:type="dxa"/>
          </w:tcPr>
          <w:p w14:paraId="6475708B" w14:textId="49BA008E" w:rsidR="00ED7077" w:rsidRDefault="00ED7077" w:rsidP="00BF2C81">
            <w:pPr>
              <w:pStyle w:val="ListParagraph"/>
              <w:ind w:left="0"/>
              <w:jc w:val="center"/>
            </w:pPr>
            <w:r>
              <w:t>Red Oak</w:t>
            </w:r>
          </w:p>
        </w:tc>
        <w:tc>
          <w:tcPr>
            <w:tcW w:w="1010" w:type="dxa"/>
          </w:tcPr>
          <w:p w14:paraId="7C32B08F" w14:textId="6B44BF2B" w:rsidR="00ED7077" w:rsidRDefault="00ED7077" w:rsidP="00BF2C81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062" w:type="dxa"/>
          </w:tcPr>
          <w:p w14:paraId="245200A5" w14:textId="09E061F7" w:rsidR="00ED7077" w:rsidRDefault="00ED7077" w:rsidP="00BF2C8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95" w:type="dxa"/>
          </w:tcPr>
          <w:p w14:paraId="25138F32" w14:textId="082ED1A7" w:rsidR="00ED7077" w:rsidRDefault="00ED7077" w:rsidP="00BF2C81">
            <w:pPr>
              <w:pStyle w:val="ListParagraph"/>
              <w:ind w:left="0"/>
              <w:jc w:val="center"/>
            </w:pPr>
            <w:r>
              <w:t>52</w:t>
            </w:r>
          </w:p>
        </w:tc>
        <w:tc>
          <w:tcPr>
            <w:tcW w:w="1898" w:type="dxa"/>
          </w:tcPr>
          <w:p w14:paraId="3FAC47AC" w14:textId="34D83BB8" w:rsidR="00ED7077" w:rsidRDefault="00ED7077" w:rsidP="00BF2C81">
            <w:pPr>
              <w:pStyle w:val="ListParagraph"/>
              <w:ind w:left="0"/>
              <w:jc w:val="center"/>
            </w:pPr>
            <w:r>
              <w:t>26</w:t>
            </w:r>
          </w:p>
        </w:tc>
      </w:tr>
      <w:tr w:rsidR="00ED7077" w14:paraId="7F08AD01" w14:textId="24D21244" w:rsidTr="00ED7077">
        <w:trPr>
          <w:jc w:val="center"/>
        </w:trPr>
        <w:tc>
          <w:tcPr>
            <w:tcW w:w="1380" w:type="dxa"/>
          </w:tcPr>
          <w:p w14:paraId="1DB7F0C2" w14:textId="4A0F0A76" w:rsidR="00ED7077" w:rsidRDefault="00ED7077" w:rsidP="00BF2C81">
            <w:pPr>
              <w:pStyle w:val="ListParagraph"/>
              <w:ind w:left="0"/>
              <w:jc w:val="center"/>
            </w:pPr>
            <w:r>
              <w:t>Red Oak</w:t>
            </w:r>
          </w:p>
        </w:tc>
        <w:tc>
          <w:tcPr>
            <w:tcW w:w="1010" w:type="dxa"/>
          </w:tcPr>
          <w:p w14:paraId="45FD3C58" w14:textId="6AE72B87" w:rsidR="00ED7077" w:rsidRDefault="00ED7077" w:rsidP="00BF2C81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1062" w:type="dxa"/>
          </w:tcPr>
          <w:p w14:paraId="14A44F47" w14:textId="417DDB25" w:rsidR="00ED7077" w:rsidRDefault="00ED7077" w:rsidP="00BF2C8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5" w:type="dxa"/>
          </w:tcPr>
          <w:p w14:paraId="331366AF" w14:textId="7BBA3BE6" w:rsidR="00ED7077" w:rsidRDefault="00ED7077" w:rsidP="00BF2C81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1898" w:type="dxa"/>
          </w:tcPr>
          <w:p w14:paraId="1F00DC1B" w14:textId="1D1172D2" w:rsidR="00ED7077" w:rsidRDefault="00ED7077" w:rsidP="00BF2C81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ED7077" w14:paraId="149D946F" w14:textId="4AE3396E" w:rsidTr="00ED7077">
        <w:trPr>
          <w:jc w:val="center"/>
        </w:trPr>
        <w:tc>
          <w:tcPr>
            <w:tcW w:w="1380" w:type="dxa"/>
          </w:tcPr>
          <w:p w14:paraId="08CC3658" w14:textId="3FC9A8D0" w:rsidR="00ED7077" w:rsidRDefault="00ED7077" w:rsidP="00BF2C81">
            <w:pPr>
              <w:pStyle w:val="ListParagraph"/>
              <w:ind w:left="0"/>
              <w:jc w:val="center"/>
            </w:pPr>
            <w:r>
              <w:t>Red Oak</w:t>
            </w:r>
          </w:p>
        </w:tc>
        <w:tc>
          <w:tcPr>
            <w:tcW w:w="1010" w:type="dxa"/>
          </w:tcPr>
          <w:p w14:paraId="1D4D7C21" w14:textId="4EEA9479" w:rsidR="00ED7077" w:rsidRDefault="00ED7077" w:rsidP="00BF2C81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062" w:type="dxa"/>
          </w:tcPr>
          <w:p w14:paraId="409FAD45" w14:textId="184EBC0D" w:rsidR="00ED7077" w:rsidRDefault="00ED7077" w:rsidP="00BF2C8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5" w:type="dxa"/>
          </w:tcPr>
          <w:p w14:paraId="4B9871F5" w14:textId="2B89784D" w:rsidR="00ED7077" w:rsidRDefault="00ED7077" w:rsidP="00BF2C81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898" w:type="dxa"/>
          </w:tcPr>
          <w:p w14:paraId="48C6FB25" w14:textId="4CBEB77E" w:rsidR="00ED7077" w:rsidRDefault="00ED7077" w:rsidP="00BF2C81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ED7077" w14:paraId="5B877FAD" w14:textId="61FFC263" w:rsidTr="00ED7077">
        <w:trPr>
          <w:jc w:val="center"/>
        </w:trPr>
        <w:tc>
          <w:tcPr>
            <w:tcW w:w="1380" w:type="dxa"/>
          </w:tcPr>
          <w:p w14:paraId="2C6C0A5B" w14:textId="7068FDAF" w:rsidR="00ED7077" w:rsidRDefault="00ED7077" w:rsidP="00BF2C81">
            <w:pPr>
              <w:pStyle w:val="ListParagraph"/>
              <w:ind w:left="0"/>
              <w:jc w:val="center"/>
            </w:pPr>
            <w:r>
              <w:t>Water Oak</w:t>
            </w:r>
          </w:p>
        </w:tc>
        <w:tc>
          <w:tcPr>
            <w:tcW w:w="1010" w:type="dxa"/>
          </w:tcPr>
          <w:p w14:paraId="47D61C80" w14:textId="5099DAC0" w:rsidR="00ED7077" w:rsidRDefault="00ED7077" w:rsidP="00BF2C81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062" w:type="dxa"/>
          </w:tcPr>
          <w:p w14:paraId="7C10335D" w14:textId="3969D244" w:rsidR="00ED7077" w:rsidRDefault="00ED7077" w:rsidP="00BF2C8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5" w:type="dxa"/>
          </w:tcPr>
          <w:p w14:paraId="0A8FD175" w14:textId="4466E193" w:rsidR="00ED7077" w:rsidRDefault="00ED7077" w:rsidP="00BF2C81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898" w:type="dxa"/>
          </w:tcPr>
          <w:p w14:paraId="148F60F6" w14:textId="43B331CB" w:rsidR="00ED7077" w:rsidRDefault="00ED7077" w:rsidP="00BF2C81">
            <w:pPr>
              <w:pStyle w:val="ListParagraph"/>
              <w:ind w:left="0"/>
              <w:jc w:val="center"/>
            </w:pPr>
            <w:r>
              <w:t>30</w:t>
            </w:r>
          </w:p>
        </w:tc>
      </w:tr>
      <w:tr w:rsidR="00ED7077" w14:paraId="7DF04C6B" w14:textId="14E9B6BB" w:rsidTr="00ED7077">
        <w:trPr>
          <w:trHeight w:val="125"/>
          <w:jc w:val="center"/>
        </w:trPr>
        <w:tc>
          <w:tcPr>
            <w:tcW w:w="3452" w:type="dxa"/>
            <w:gridSpan w:val="3"/>
          </w:tcPr>
          <w:p w14:paraId="75959A84" w14:textId="0FA2A4E8" w:rsidR="00ED7077" w:rsidRPr="00ED7077" w:rsidRDefault="00ED7077" w:rsidP="004C6715">
            <w:pPr>
              <w:pStyle w:val="ListParagraph"/>
              <w:ind w:left="0"/>
              <w:jc w:val="right"/>
              <w:rPr>
                <w:b/>
              </w:rPr>
            </w:pPr>
            <w:r w:rsidRPr="00ED7077">
              <w:rPr>
                <w:b/>
              </w:rPr>
              <w:t>TOTAL</w:t>
            </w:r>
            <w:r>
              <w:rPr>
                <w:b/>
              </w:rPr>
              <w:t xml:space="preserve"> REPLACEMENT </w:t>
            </w:r>
          </w:p>
        </w:tc>
        <w:tc>
          <w:tcPr>
            <w:tcW w:w="1295" w:type="dxa"/>
          </w:tcPr>
          <w:p w14:paraId="5A362AB3" w14:textId="63E3D987" w:rsidR="00ED7077" w:rsidRPr="00ED7077" w:rsidRDefault="00ED7077" w:rsidP="00BF2C81">
            <w:pPr>
              <w:pStyle w:val="ListParagraph"/>
              <w:ind w:left="0"/>
              <w:jc w:val="center"/>
              <w:rPr>
                <w:b/>
              </w:rPr>
            </w:pPr>
            <w:r w:rsidRPr="00ED7077">
              <w:rPr>
                <w:b/>
              </w:rPr>
              <w:t>196</w:t>
            </w:r>
          </w:p>
        </w:tc>
        <w:tc>
          <w:tcPr>
            <w:tcW w:w="1898" w:type="dxa"/>
          </w:tcPr>
          <w:p w14:paraId="0755B43D" w14:textId="676DDC5F" w:rsidR="00ED7077" w:rsidRPr="00ED7077" w:rsidRDefault="00ED7077" w:rsidP="00BF2C81">
            <w:pPr>
              <w:pStyle w:val="ListParagraph"/>
              <w:ind w:left="0"/>
              <w:jc w:val="center"/>
              <w:rPr>
                <w:b/>
              </w:rPr>
            </w:pPr>
            <w:r w:rsidRPr="00ED7077">
              <w:rPr>
                <w:b/>
              </w:rPr>
              <w:t>98</w:t>
            </w:r>
          </w:p>
        </w:tc>
      </w:tr>
    </w:tbl>
    <w:p w14:paraId="0E6F48A2" w14:textId="3BD9277A" w:rsidR="00BF2C81" w:rsidRDefault="00BF2C81" w:rsidP="00BF2C81">
      <w:pPr>
        <w:pStyle w:val="ListParagraph"/>
      </w:pPr>
    </w:p>
    <w:p w14:paraId="14CC44FF" w14:textId="5B707EE1" w:rsidR="009A547F" w:rsidRDefault="009A547F" w:rsidP="00BF2C81">
      <w:pPr>
        <w:pStyle w:val="ListParagraph"/>
      </w:pPr>
      <w:r>
        <w:t xml:space="preserve">Approximately 98 (2-inch) trees will be required to replace the specimen trees </w:t>
      </w:r>
      <w:r w:rsidR="0095423C">
        <w:t xml:space="preserve">being </w:t>
      </w:r>
      <w:r>
        <w:t xml:space="preserve">removed.  </w:t>
      </w:r>
      <w:r w:rsidR="0095423C">
        <w:t>Under the tree preservation ordinance Sec. 30-102, t</w:t>
      </w:r>
      <w:r>
        <w:t xml:space="preserve">he applicant will be required to obtain 3 </w:t>
      </w:r>
      <w:r w:rsidR="0095423C">
        <w:t xml:space="preserve">installed </w:t>
      </w:r>
      <w:r>
        <w:t xml:space="preserve">cost estimates and the average cost will be used to establish the value </w:t>
      </w:r>
      <w:r w:rsidR="0095423C">
        <w:t>for the tree fund contribution</w:t>
      </w:r>
      <w:r>
        <w:t xml:space="preserve">. </w:t>
      </w:r>
    </w:p>
    <w:p w14:paraId="7D1B42AA" w14:textId="6980A0D9" w:rsidR="00156BA9" w:rsidRDefault="00156BA9" w:rsidP="006F1834">
      <w:r>
        <w:t xml:space="preserve">Sec. 74-196 – Pedestrian improvements </w:t>
      </w:r>
      <w:r w:rsidR="009A547F">
        <w:t xml:space="preserve">- </w:t>
      </w:r>
      <w:r>
        <w:t>5 foot</w:t>
      </w:r>
      <w:r w:rsidR="002C3E9C">
        <w:t xml:space="preserve"> </w:t>
      </w:r>
      <w:r>
        <w:t xml:space="preserve">versus 6 foot </w:t>
      </w:r>
      <w:r w:rsidR="009A547F">
        <w:t>sidewalks</w:t>
      </w:r>
      <w:r w:rsidR="00C0424A">
        <w:t xml:space="preserve"> on the public right of way</w:t>
      </w:r>
    </w:p>
    <w:p w14:paraId="73D4E0C1" w14:textId="77777777" w:rsidR="00E22E6B" w:rsidRDefault="00C0424A" w:rsidP="00C0424A">
      <w:pPr>
        <w:pStyle w:val="ListParagraph"/>
        <w:numPr>
          <w:ilvl w:val="0"/>
          <w:numId w:val="10"/>
        </w:numPr>
      </w:pPr>
      <w:r w:rsidRPr="00C0424A">
        <w:rPr>
          <w:b/>
        </w:rPr>
        <w:t>Staff recommends denial of the variance on the sidewalk width.</w:t>
      </w:r>
      <w:r>
        <w:t xml:space="preserve">  </w:t>
      </w:r>
    </w:p>
    <w:p w14:paraId="6D9A9446" w14:textId="77777777" w:rsidR="00E22E6B" w:rsidRDefault="00E22E6B" w:rsidP="00E22E6B">
      <w:pPr>
        <w:pStyle w:val="ListParagraph"/>
      </w:pPr>
    </w:p>
    <w:p w14:paraId="73838988" w14:textId="55D78261" w:rsidR="009A547F" w:rsidRDefault="00E22E6B" w:rsidP="00E22E6B">
      <w:pPr>
        <w:pStyle w:val="ListParagraph"/>
      </w:pPr>
      <w:r>
        <w:t>Staff does not recognize a</w:t>
      </w:r>
      <w:r w:rsidR="00C0424A">
        <w:t xml:space="preserve"> hardship</w:t>
      </w:r>
      <w:r>
        <w:t xml:space="preserve"> for the applicant</w:t>
      </w:r>
      <w:r w:rsidR="00C0424A">
        <w:t xml:space="preserve"> and the City standard of 6 feet wide </w:t>
      </w:r>
      <w:r>
        <w:t xml:space="preserve">sidewalks </w:t>
      </w:r>
      <w:r w:rsidR="00DA31BB">
        <w:t xml:space="preserve">in the overlay district </w:t>
      </w:r>
      <w:r>
        <w:t xml:space="preserve">allows </w:t>
      </w:r>
      <w:r w:rsidR="00C0424A">
        <w:t xml:space="preserve">users to </w:t>
      </w:r>
      <w:r>
        <w:t xml:space="preserve">more easily pass each other and should </w:t>
      </w:r>
      <w:r w:rsidR="00DA31BB">
        <w:t xml:space="preserve">only be varied </w:t>
      </w:r>
      <w:r>
        <w:t xml:space="preserve">where </w:t>
      </w:r>
      <w:r w:rsidR="00DA31BB">
        <w:t xml:space="preserve">necessary to avoid an obstruction. </w:t>
      </w:r>
      <w:r>
        <w:t xml:space="preserve"> </w:t>
      </w:r>
    </w:p>
    <w:p w14:paraId="77F6339C" w14:textId="6D8EA739" w:rsidR="00156BA9" w:rsidRDefault="006F1834" w:rsidP="006F1834">
      <w:r>
        <w:t>Sec.</w:t>
      </w:r>
      <w:r w:rsidR="00156BA9">
        <w:t xml:space="preserve"> 74-197 –</w:t>
      </w:r>
      <w:r w:rsidR="00C0424A">
        <w:t xml:space="preserve"> Lighting standard </w:t>
      </w:r>
      <w:r w:rsidR="00E22E6B">
        <w:t xml:space="preserve">  - minimum of 2.4 foot candles typically met with use of light poles</w:t>
      </w:r>
    </w:p>
    <w:p w14:paraId="399E8301" w14:textId="77777777" w:rsidR="00E22E6B" w:rsidRDefault="00C0424A" w:rsidP="00C0424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E22E6B">
        <w:rPr>
          <w:b/>
        </w:rPr>
        <w:t xml:space="preserve">Staff recommends </w:t>
      </w:r>
      <w:r w:rsidR="00E22E6B">
        <w:rPr>
          <w:b/>
        </w:rPr>
        <w:t xml:space="preserve">denial </w:t>
      </w:r>
      <w:r w:rsidRPr="00E22E6B">
        <w:rPr>
          <w:b/>
        </w:rPr>
        <w:t>of the va</w:t>
      </w:r>
      <w:r w:rsidR="00E22E6B">
        <w:rPr>
          <w:b/>
        </w:rPr>
        <w:t xml:space="preserve">riance on the lighting standard.  </w:t>
      </w:r>
    </w:p>
    <w:p w14:paraId="5A7B7FC8" w14:textId="77777777" w:rsidR="00E22E6B" w:rsidRDefault="00E22E6B" w:rsidP="00E22E6B">
      <w:pPr>
        <w:pStyle w:val="ListParagraph"/>
        <w:spacing w:after="0"/>
        <w:rPr>
          <w:b/>
        </w:rPr>
      </w:pPr>
    </w:p>
    <w:p w14:paraId="19D16A2A" w14:textId="29616153" w:rsidR="00C60341" w:rsidRPr="00E22E6B" w:rsidRDefault="00E22E6B" w:rsidP="00E22E6B">
      <w:pPr>
        <w:pStyle w:val="ListParagraph"/>
        <w:spacing w:after="0"/>
      </w:pPr>
      <w:r>
        <w:t xml:space="preserve">Staff believes the variance is not needed as the </w:t>
      </w:r>
      <w:r w:rsidR="00C0424A" w:rsidRPr="00E22E6B">
        <w:t xml:space="preserve">applicant </w:t>
      </w:r>
      <w:r>
        <w:t xml:space="preserve">can </w:t>
      </w:r>
      <w:r w:rsidR="00C0424A" w:rsidRPr="00E22E6B">
        <w:t xml:space="preserve">incorporate wall mounted lighting on the west side </w:t>
      </w:r>
      <w:r>
        <w:t>of the building to ensure minimum foot candles are met in the parking spaces and sidewalk.</w:t>
      </w:r>
    </w:p>
    <w:p w14:paraId="39E758AB" w14:textId="77777777" w:rsidR="00C60341" w:rsidRDefault="00C60341" w:rsidP="002D7BEA">
      <w:pPr>
        <w:spacing w:after="0"/>
      </w:pPr>
    </w:p>
    <w:p w14:paraId="7B4161FF" w14:textId="77777777" w:rsidR="00C60341" w:rsidRDefault="00C60341" w:rsidP="002D7BEA">
      <w:pPr>
        <w:spacing w:after="0"/>
      </w:pPr>
    </w:p>
    <w:p w14:paraId="16C2CA17" w14:textId="7B9ACD2A" w:rsidR="00C60341" w:rsidRDefault="00C60341" w:rsidP="002D7BEA">
      <w:pPr>
        <w:spacing w:after="0"/>
      </w:pPr>
    </w:p>
    <w:sectPr w:rsidR="00C60341" w:rsidSect="001E72C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5539" w14:textId="77777777" w:rsidR="00C0424A" w:rsidRDefault="00C0424A" w:rsidP="002D7BEA">
      <w:pPr>
        <w:spacing w:after="0" w:line="240" w:lineRule="auto"/>
      </w:pPr>
      <w:r>
        <w:separator/>
      </w:r>
    </w:p>
  </w:endnote>
  <w:endnote w:type="continuationSeparator" w:id="0">
    <w:p w14:paraId="4DF8FEB2" w14:textId="77777777" w:rsidR="00C0424A" w:rsidRDefault="00C0424A" w:rsidP="002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C990" w14:textId="77777777" w:rsidR="00C0424A" w:rsidRDefault="00C0424A" w:rsidP="002D7BEA">
      <w:pPr>
        <w:spacing w:after="0" w:line="240" w:lineRule="auto"/>
      </w:pPr>
      <w:r>
        <w:separator/>
      </w:r>
    </w:p>
  </w:footnote>
  <w:footnote w:type="continuationSeparator" w:id="0">
    <w:p w14:paraId="10846B80" w14:textId="77777777" w:rsidR="00C0424A" w:rsidRDefault="00C0424A" w:rsidP="002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F7BD" w14:textId="77777777" w:rsidR="00C0424A" w:rsidRPr="00996C8F" w:rsidRDefault="00C0424A" w:rsidP="002D7BEA">
    <w:pPr>
      <w:pStyle w:val="Header"/>
      <w:jc w:val="center"/>
      <w:rPr>
        <w:noProof/>
        <w:sz w:val="20"/>
        <w:szCs w:val="20"/>
      </w:rPr>
    </w:pPr>
    <w:r w:rsidRPr="00996C8F">
      <w:rPr>
        <w:noProof/>
        <w:sz w:val="20"/>
        <w:szCs w:val="20"/>
      </w:rPr>
      <w:t>William “Dub” Pearman, III</w:t>
    </w:r>
    <w:r w:rsidRPr="00996C8F">
      <w:rPr>
        <w:noProof/>
        <w:sz w:val="20"/>
        <w:szCs w:val="20"/>
      </w:rPr>
      <w:tab/>
    </w:r>
    <w:r w:rsidRPr="00996C8F">
      <w:rPr>
        <w:noProof/>
        <w:sz w:val="20"/>
        <w:szCs w:val="20"/>
      </w:rPr>
      <w:tab/>
      <w:t xml:space="preserve">            Harold Simmons</w:t>
    </w:r>
  </w:p>
  <w:p w14:paraId="2D7FF0F1" w14:textId="77777777" w:rsidR="00C0424A" w:rsidRPr="00996C8F" w:rsidRDefault="00C0424A" w:rsidP="002D7BEA">
    <w:pPr>
      <w:pStyle w:val="Header"/>
      <w:jc w:val="center"/>
      <w:rPr>
        <w:noProof/>
        <w:sz w:val="20"/>
        <w:szCs w:val="20"/>
      </w:rPr>
    </w:pPr>
    <w:r w:rsidRPr="00996C8F">
      <w:rPr>
        <w:noProof/>
        <w:sz w:val="20"/>
        <w:szCs w:val="20"/>
      </w:rPr>
      <w:t xml:space="preserve">                  Mayor</w:t>
    </w:r>
    <w:r w:rsidRPr="00996C8F">
      <w:rPr>
        <w:noProof/>
        <w:sz w:val="20"/>
        <w:szCs w:val="20"/>
      </w:rPr>
      <w:tab/>
    </w:r>
    <w:r w:rsidRPr="00996C8F">
      <w:rPr>
        <w:noProof/>
        <w:sz w:val="20"/>
        <w:szCs w:val="20"/>
      </w:rPr>
      <w:tab/>
      <w:t>City Manager</w:t>
    </w:r>
  </w:p>
  <w:p w14:paraId="204B1AE1" w14:textId="77777777" w:rsidR="00C0424A" w:rsidRDefault="00C0424A" w:rsidP="002D7BEA">
    <w:pPr>
      <w:pStyle w:val="Header"/>
      <w:jc w:val="center"/>
    </w:pPr>
    <w:r>
      <w:rPr>
        <w:noProof/>
      </w:rPr>
      <w:drawing>
        <wp:inline distT="0" distB="0" distL="0" distR="0" wp14:anchorId="4C9EEF2B" wp14:editId="6BD2FBBD">
          <wp:extent cx="828675" cy="704700"/>
          <wp:effectExtent l="0" t="0" r="0" b="635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81" cy="73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E78"/>
    <w:multiLevelType w:val="hybridMultilevel"/>
    <w:tmpl w:val="D99E1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1">
    <w:nsid w:val="0DF05546"/>
    <w:multiLevelType w:val="hybridMultilevel"/>
    <w:tmpl w:val="6244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0F1"/>
    <w:multiLevelType w:val="hybridMultilevel"/>
    <w:tmpl w:val="02C2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F24"/>
    <w:multiLevelType w:val="hybridMultilevel"/>
    <w:tmpl w:val="784E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584043E"/>
    <w:multiLevelType w:val="hybridMultilevel"/>
    <w:tmpl w:val="0DACB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0B06909"/>
    <w:multiLevelType w:val="hybridMultilevel"/>
    <w:tmpl w:val="608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50EA"/>
    <w:multiLevelType w:val="hybridMultilevel"/>
    <w:tmpl w:val="9102A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976"/>
    <w:multiLevelType w:val="hybridMultilevel"/>
    <w:tmpl w:val="F9A28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14E2"/>
    <w:multiLevelType w:val="hybridMultilevel"/>
    <w:tmpl w:val="AC8E6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1">
    <w:nsid w:val="4FD446A8"/>
    <w:multiLevelType w:val="hybridMultilevel"/>
    <w:tmpl w:val="7C843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903639595"/>
  </wne:recipientData>
  <wne:recipientData>
    <wne:active wne:val="1"/>
    <wne:hash wne:val="1951909858"/>
  </wne:recipientData>
  <wne:recipientData>
    <wne:active wne:val="1"/>
    <wne:hash wne:val="2055692505"/>
  </wne:recipientData>
  <wne:recipientData>
    <wne:active wne:val="1"/>
    <wne:hash wne:val="830276345"/>
  </wne:recipientData>
  <wne:recipientData>
    <wne:active wne:val="1"/>
    <wne:hash wne:val="-132363211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2.SENOIA DEVELOPMENT\0-REZONE VARIANCE OR CU - Active\Wellstar Health System Variances\Variance application and documentation\ADJ OWNERS LIST OF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xport$` "/>
    <w:dataSource r:id="rId1"/>
    <w:viewMergedData/>
    <w:odso>
      <w:udl w:val="Provider=Microsoft.ACE.OLEDB.12.0;User ID=Admin;Data Source=P:\2.SENOIA DEVELOPMENT\0-REZONE VARIANCE OR CU - Active\Wellstar Health System Variances\Variance application and documentation\ADJ OWNERS LIST OF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xport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wnerName"/>
        <w:mappedName w:val="Address 1"/>
        <w:column w:val="1"/>
        <w:lid w:val="en-US"/>
      </w:fieldMapData>
      <w:fieldMapData>
        <w:type w:val="dbColumn"/>
        <w:name w:val="OwnerAddress2"/>
        <w:mappedName w:val="Address 2"/>
        <w:column w:val="2"/>
        <w:lid w:val="en-US"/>
      </w:fieldMapData>
      <w:fieldMapData>
        <w:type w:val="dbColumn"/>
        <w:name w:val="OwnerCityStZip"/>
        <w:mappedName w:val="City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A"/>
    <w:rsid w:val="00156BA9"/>
    <w:rsid w:val="001E72C3"/>
    <w:rsid w:val="002C3E9C"/>
    <w:rsid w:val="002C717A"/>
    <w:rsid w:val="002D7BEA"/>
    <w:rsid w:val="003F1E06"/>
    <w:rsid w:val="00471B4C"/>
    <w:rsid w:val="004C6715"/>
    <w:rsid w:val="0050763E"/>
    <w:rsid w:val="0053521B"/>
    <w:rsid w:val="005B17E0"/>
    <w:rsid w:val="005E341A"/>
    <w:rsid w:val="005E6992"/>
    <w:rsid w:val="006545EB"/>
    <w:rsid w:val="006815D7"/>
    <w:rsid w:val="006D0CCE"/>
    <w:rsid w:val="006F1834"/>
    <w:rsid w:val="00830C33"/>
    <w:rsid w:val="00862A35"/>
    <w:rsid w:val="008815CA"/>
    <w:rsid w:val="008971E9"/>
    <w:rsid w:val="008C06C8"/>
    <w:rsid w:val="008D031C"/>
    <w:rsid w:val="008F4E79"/>
    <w:rsid w:val="00903E13"/>
    <w:rsid w:val="0092707B"/>
    <w:rsid w:val="0095423C"/>
    <w:rsid w:val="009546DC"/>
    <w:rsid w:val="00977E33"/>
    <w:rsid w:val="00987936"/>
    <w:rsid w:val="00996C8F"/>
    <w:rsid w:val="009A547F"/>
    <w:rsid w:val="009F3BD9"/>
    <w:rsid w:val="00A81178"/>
    <w:rsid w:val="00BF2C81"/>
    <w:rsid w:val="00C0424A"/>
    <w:rsid w:val="00C045FB"/>
    <w:rsid w:val="00C60341"/>
    <w:rsid w:val="00CC24FC"/>
    <w:rsid w:val="00D527D7"/>
    <w:rsid w:val="00D5688D"/>
    <w:rsid w:val="00D76138"/>
    <w:rsid w:val="00DA31BB"/>
    <w:rsid w:val="00E00D94"/>
    <w:rsid w:val="00E22E6B"/>
    <w:rsid w:val="00E231CA"/>
    <w:rsid w:val="00ED7077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9577"/>
  <w15:chartTrackingRefBased/>
  <w15:docId w15:val="{E7EC293D-ACF8-4445-9B27-DD22B2BC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EA"/>
  </w:style>
  <w:style w:type="paragraph" w:styleId="Footer">
    <w:name w:val="footer"/>
    <w:basedOn w:val="Normal"/>
    <w:link w:val="FooterChar"/>
    <w:uiPriority w:val="99"/>
    <w:unhideWhenUsed/>
    <w:rsid w:val="002D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EA"/>
  </w:style>
  <w:style w:type="table" w:styleId="TableGrid">
    <w:name w:val="Table Grid"/>
    <w:basedOn w:val="TableNormal"/>
    <w:uiPriority w:val="39"/>
    <w:rsid w:val="0047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2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2.SENOIA%20DEVELOPMENT\0-REZONE%20VARIANCE%20OR%20CU%20-%20Active\Wellstar%20Health%20System%20Variances\Variance%20application%20and%20documentation\ADJ%20OWNERS%20LIST%20OF%20ADDRESSES.xlsx" TargetMode="External"/><Relationship Id="rId1" Type="http://schemas.openxmlformats.org/officeDocument/2006/relationships/mailMergeSource" Target="file:///P:\2.SENOIA%20DEVELOPMENT\0-REZONE%20VARIANCE%20OR%20CU%20-%20Active\Wellstar%20Health%20System%20Variances\Variance%20application%20and%20documentation\ADJ%20OWNERS%20LIST%20OF%20ADDRESS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Johnson</dc:creator>
  <cp:keywords/>
  <dc:description/>
  <cp:lastModifiedBy>Dana Johnson</cp:lastModifiedBy>
  <cp:revision>2</cp:revision>
  <cp:lastPrinted>2023-06-07T18:45:00Z</cp:lastPrinted>
  <dcterms:created xsi:type="dcterms:W3CDTF">2023-06-07T19:22:00Z</dcterms:created>
  <dcterms:modified xsi:type="dcterms:W3CDTF">2023-06-07T19:22:00Z</dcterms:modified>
</cp:coreProperties>
</file>