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61D8" w14:textId="2CDCEBFD" w:rsidR="006B50BD" w:rsidRDefault="006B50BD" w:rsidP="006B50BD">
      <w:pPr>
        <w:pStyle w:val="Section"/>
      </w:pPr>
      <w:r>
        <w:t> </w:t>
      </w:r>
      <w:r w:rsidR="00A07B59">
        <w:t>R-25</w:t>
      </w:r>
      <w:r w:rsidR="00440ED0">
        <w:t>C</w:t>
      </w:r>
      <w:r>
        <w:t>.</w:t>
      </w:r>
      <w:r w:rsidR="00A77F2E">
        <w:t xml:space="preserve"> – Newberry Bluff</w:t>
      </w:r>
    </w:p>
    <w:p w14:paraId="00FF565E" w14:textId="77777777" w:rsidR="006B50BD" w:rsidRDefault="001D27BC" w:rsidP="006B50BD">
      <w:pPr>
        <w:pStyle w:val="List1"/>
      </w:pPr>
      <w:bookmarkStart w:id="0" w:name="_GoBack"/>
      <w:r>
        <w:t xml:space="preserve"> </w:t>
      </w:r>
      <w:r w:rsidR="006B50BD">
        <w:t>(</w:t>
      </w:r>
      <w:r>
        <w:t>a)</w:t>
      </w:r>
      <w:r w:rsidR="006B50BD">
        <w:tab/>
      </w:r>
      <w:r w:rsidR="006B50BD">
        <w:rPr>
          <w:i/>
        </w:rPr>
        <w:t>Development standards</w:t>
      </w:r>
      <w:r w:rsidR="006B50BD">
        <w:t xml:space="preserve">: </w:t>
      </w:r>
    </w:p>
    <w:bookmarkEnd w:id="0"/>
    <w:p w14:paraId="5EA10A48" w14:textId="6D22433D" w:rsidR="006B50BD" w:rsidRDefault="00B23D02" w:rsidP="006B50BD">
      <w:pPr>
        <w:pStyle w:val="List2"/>
      </w:pPr>
      <w:r>
        <w:t xml:space="preserve"> </w:t>
      </w:r>
      <w:r w:rsidR="006B50BD" w:rsidRPr="00B23D02">
        <w:t>(</w:t>
      </w:r>
      <w:r w:rsidRPr="00B23D02">
        <w:t>1</w:t>
      </w:r>
      <w:r w:rsidR="006B50BD" w:rsidRPr="00B23D02">
        <w:t>)</w:t>
      </w:r>
      <w:r w:rsidR="006B50BD" w:rsidRPr="00B23D02">
        <w:tab/>
        <w:t>Open space—</w:t>
      </w:r>
      <w:r w:rsidR="00AA7558" w:rsidRPr="00B23D02">
        <w:t>25</w:t>
      </w:r>
      <w:r w:rsidR="006B50BD" w:rsidRPr="00B23D02">
        <w:t xml:space="preserve"> percent, dedicated to the homeowners' association; </w:t>
      </w:r>
      <w:r w:rsidR="00AA7558" w:rsidRPr="00B23D02">
        <w:t>10 percent must be able to be able to be built on.</w:t>
      </w:r>
      <w:r w:rsidR="00AA7558">
        <w:t xml:space="preserve"> </w:t>
      </w:r>
      <w:r w:rsidR="00A77F2E">
        <w:t xml:space="preserve">– </w:t>
      </w:r>
      <w:r w:rsidR="00A77F2E" w:rsidRPr="00A77F2E">
        <w:rPr>
          <w:b/>
          <w:i/>
          <w:u w:val="single"/>
        </w:rPr>
        <w:t>30% provided</w:t>
      </w:r>
    </w:p>
    <w:p w14:paraId="63146235" w14:textId="149E4B62" w:rsidR="001D27BC" w:rsidRPr="00A77F2E" w:rsidRDefault="006B50BD" w:rsidP="006B50BD">
      <w:pPr>
        <w:pStyle w:val="List2"/>
        <w:rPr>
          <w:b/>
          <w:i/>
          <w:u w:val="single"/>
        </w:rPr>
      </w:pPr>
      <w:r>
        <w:t>(</w:t>
      </w:r>
      <w:r w:rsidR="00B23D02">
        <w:t>2</w:t>
      </w:r>
      <w:r>
        <w:t>)</w:t>
      </w:r>
      <w:r>
        <w:tab/>
      </w:r>
      <w:r w:rsidR="005B010D" w:rsidRPr="003858D7">
        <w:t>Maximum</w:t>
      </w:r>
      <w:r w:rsidR="003858D7">
        <w:t xml:space="preserve"> </w:t>
      </w:r>
      <w:r w:rsidR="005B010D">
        <w:rPr>
          <w:strike/>
        </w:rPr>
        <w:t xml:space="preserve"> </w:t>
      </w:r>
      <w:r>
        <w:t xml:space="preserve"> lot area—</w:t>
      </w:r>
      <w:r w:rsidR="001D27BC">
        <w:t>2.</w:t>
      </w:r>
      <w:r w:rsidR="00AA7558">
        <w:t>5</w:t>
      </w:r>
      <w:r w:rsidR="001D27BC">
        <w:t xml:space="preserve"> dwellings per acre. </w:t>
      </w:r>
      <w:r w:rsidR="00A77F2E" w:rsidRPr="00A77F2E">
        <w:rPr>
          <w:b/>
          <w:i/>
          <w:u w:val="single"/>
        </w:rPr>
        <w:t>Met requirement</w:t>
      </w:r>
    </w:p>
    <w:p w14:paraId="2008641F" w14:textId="7D91B0C2" w:rsidR="006B50BD" w:rsidRDefault="001D27BC" w:rsidP="006B50BD">
      <w:pPr>
        <w:pStyle w:val="List2"/>
      </w:pPr>
      <w:r>
        <w:t xml:space="preserve"> </w:t>
      </w:r>
      <w:r w:rsidR="006B50BD">
        <w:t>(</w:t>
      </w:r>
      <w:r w:rsidR="00B23D02">
        <w:t>3</w:t>
      </w:r>
      <w:r w:rsidR="006B50BD">
        <w:t>)</w:t>
      </w:r>
      <w:r w:rsidR="006B50BD">
        <w:tab/>
        <w:t>Minimum lot width at building line—</w:t>
      </w:r>
      <w:r w:rsidR="00B23D02">
        <w:t>60</w:t>
      </w:r>
      <w:r w:rsidR="006B50BD">
        <w:t xml:space="preserve">  feet; </w:t>
      </w:r>
      <w:r w:rsidR="00A77F2E">
        <w:t xml:space="preserve"> </w:t>
      </w:r>
      <w:r w:rsidR="00A77F2E" w:rsidRPr="00A77F2E">
        <w:rPr>
          <w:b/>
          <w:i/>
          <w:u w:val="single"/>
        </w:rPr>
        <w:t>Met Requirement</w:t>
      </w:r>
    </w:p>
    <w:p w14:paraId="7CF5BD12" w14:textId="5F768530" w:rsidR="006B50BD" w:rsidRDefault="006B50BD" w:rsidP="006B50BD">
      <w:pPr>
        <w:pStyle w:val="List2"/>
      </w:pPr>
      <w:r>
        <w:t>(</w:t>
      </w:r>
      <w:r w:rsidR="00B23D02">
        <w:t>4</w:t>
      </w:r>
      <w:r>
        <w:t>)</w:t>
      </w:r>
      <w:r>
        <w:tab/>
        <w:t xml:space="preserve">Yard setbacks: </w:t>
      </w:r>
      <w:r w:rsidR="00A77F2E" w:rsidRPr="00A77F2E">
        <w:rPr>
          <w:b/>
          <w:i/>
          <w:u w:val="single"/>
        </w:rPr>
        <w:t>Met Requirement</w:t>
      </w:r>
    </w:p>
    <w:p w14:paraId="7A634423" w14:textId="77777777" w:rsidR="006B50BD" w:rsidRDefault="006B50BD" w:rsidP="006B50BD">
      <w:pPr>
        <w:pStyle w:val="List3"/>
      </w:pPr>
      <w:r>
        <w:t>a.</w:t>
      </w:r>
      <w:r>
        <w:tab/>
        <w:t xml:space="preserve">From all streets—20 feet; </w:t>
      </w:r>
    </w:p>
    <w:p w14:paraId="4D39E26F" w14:textId="7BB6DCAA" w:rsidR="006B50BD" w:rsidRDefault="006B50BD" w:rsidP="006B50BD">
      <w:pPr>
        <w:pStyle w:val="List3"/>
      </w:pPr>
      <w:r>
        <w:t>b.</w:t>
      </w:r>
      <w:r>
        <w:tab/>
        <w:t>Side yard setbacks—</w:t>
      </w:r>
      <w:r w:rsidR="00A77F2E">
        <w:t xml:space="preserve">7.5 </w:t>
      </w:r>
      <w:r>
        <w:t xml:space="preserve"> feet; </w:t>
      </w:r>
    </w:p>
    <w:p w14:paraId="40B08F92" w14:textId="77777777" w:rsidR="006B50BD" w:rsidRDefault="006B50BD" w:rsidP="006B50BD">
      <w:pPr>
        <w:pStyle w:val="List3"/>
      </w:pPr>
      <w:r>
        <w:t>c.</w:t>
      </w:r>
      <w:r>
        <w:tab/>
        <w:t xml:space="preserve">Rear yard setbacks—20 feet; </w:t>
      </w:r>
    </w:p>
    <w:p w14:paraId="5080A64F" w14:textId="635BA248" w:rsidR="006B50BD" w:rsidRPr="00A77F2E" w:rsidRDefault="006B50BD" w:rsidP="006B50BD">
      <w:pPr>
        <w:pStyle w:val="List2"/>
        <w:rPr>
          <w:b/>
          <w:i/>
          <w:u w:val="single"/>
        </w:rPr>
      </w:pPr>
      <w:r>
        <w:t>(</w:t>
      </w:r>
      <w:r w:rsidR="00B23D02">
        <w:t>5</w:t>
      </w:r>
      <w:r>
        <w:t>)</w:t>
      </w:r>
      <w:r>
        <w:tab/>
        <w:t xml:space="preserve">Maximum height of structures—35 feet; </w:t>
      </w:r>
      <w:r w:rsidR="00A77F2E" w:rsidRPr="00A77F2E">
        <w:rPr>
          <w:b/>
          <w:i/>
          <w:u w:val="single"/>
        </w:rPr>
        <w:t>Met Requirement</w:t>
      </w:r>
    </w:p>
    <w:p w14:paraId="72790F78" w14:textId="68636C72" w:rsidR="006B50BD" w:rsidRPr="00A77F2E" w:rsidRDefault="006B50BD" w:rsidP="006B50BD">
      <w:pPr>
        <w:pStyle w:val="List2"/>
        <w:rPr>
          <w:b/>
          <w:i/>
          <w:u w:val="single"/>
        </w:rPr>
      </w:pPr>
      <w:r>
        <w:t>(</w:t>
      </w:r>
      <w:r w:rsidR="00B23D02">
        <w:t>6</w:t>
      </w:r>
      <w:r>
        <w:t>)</w:t>
      </w:r>
      <w:r>
        <w:tab/>
        <w:t xml:space="preserve">Minimum square footage of principal structure—1,200 square feet; </w:t>
      </w:r>
      <w:r w:rsidR="00A77F2E" w:rsidRPr="00A77F2E">
        <w:rPr>
          <w:b/>
          <w:i/>
          <w:u w:val="single"/>
        </w:rPr>
        <w:t>Met Requirement with a minimum of 1704 square feet</w:t>
      </w:r>
    </w:p>
    <w:p w14:paraId="29536894" w14:textId="77777777" w:rsidR="006B50BD" w:rsidRDefault="006B50BD" w:rsidP="001D27BC">
      <w:pPr>
        <w:pStyle w:val="List2"/>
        <w:ind w:left="475"/>
      </w:pPr>
      <w:r>
        <w:t xml:space="preserve"> (</w:t>
      </w:r>
      <w:r w:rsidR="001D27BC">
        <w:t>b</w:t>
      </w:r>
      <w:r>
        <w:t>)</w:t>
      </w:r>
      <w:r>
        <w:tab/>
      </w:r>
      <w:r>
        <w:rPr>
          <w:i/>
        </w:rPr>
        <w:t>Architectural reference</w:t>
      </w:r>
      <w:r>
        <w:t xml:space="preserve">: </w:t>
      </w:r>
    </w:p>
    <w:p w14:paraId="7FDFC483" w14:textId="59323211" w:rsidR="006B50BD" w:rsidRPr="00A77F2E" w:rsidRDefault="006B50BD" w:rsidP="006B50BD">
      <w:pPr>
        <w:pStyle w:val="List2"/>
        <w:rPr>
          <w:b/>
          <w:i/>
          <w:u w:val="single"/>
        </w:rPr>
      </w:pPr>
      <w:r>
        <w:t>(1)</w:t>
      </w:r>
      <w:r>
        <w:tab/>
      </w:r>
      <w:r>
        <w:rPr>
          <w:i/>
        </w:rPr>
        <w:t>Building materials</w:t>
      </w:r>
      <w:r w:rsidRPr="00A77F2E">
        <w:rPr>
          <w:b/>
          <w:i/>
          <w:u w:val="single"/>
        </w:rPr>
        <w:t xml:space="preserve">. </w:t>
      </w:r>
      <w:r w:rsidR="00A77F2E" w:rsidRPr="00A77F2E">
        <w:rPr>
          <w:b/>
          <w:i/>
          <w:u w:val="single"/>
        </w:rPr>
        <w:t>Met Requirement</w:t>
      </w:r>
    </w:p>
    <w:p w14:paraId="4682D21F" w14:textId="77777777" w:rsidR="006B50BD" w:rsidRDefault="006B50BD" w:rsidP="006B50BD">
      <w:pPr>
        <w:pStyle w:val="List3"/>
      </w:pPr>
      <w:r>
        <w:t>a.</w:t>
      </w:r>
      <w:r>
        <w:tab/>
        <w:t xml:space="preserve">For principal structures, allowable building materials (not including trim/accent) along the front and side facades are limited to the following: </w:t>
      </w:r>
    </w:p>
    <w:p w14:paraId="23C3C4E8" w14:textId="77777777" w:rsidR="006B50BD" w:rsidRDefault="006B50BD" w:rsidP="006B50BD">
      <w:pPr>
        <w:pStyle w:val="List4"/>
      </w:pPr>
      <w:r>
        <w:t>(i)</w:t>
      </w:r>
      <w:r>
        <w:tab/>
        <w:t xml:space="preserve">Brick; </w:t>
      </w:r>
    </w:p>
    <w:p w14:paraId="2865C35C" w14:textId="77777777" w:rsidR="006B50BD" w:rsidRDefault="006B50BD" w:rsidP="006B50BD">
      <w:pPr>
        <w:pStyle w:val="List4"/>
      </w:pPr>
      <w:r>
        <w:t>(ii)</w:t>
      </w:r>
      <w:r>
        <w:tab/>
        <w:t xml:space="preserve">Brick veneer; </w:t>
      </w:r>
    </w:p>
    <w:p w14:paraId="63047A69" w14:textId="77777777" w:rsidR="006B50BD" w:rsidRDefault="006B50BD" w:rsidP="006B50BD">
      <w:pPr>
        <w:pStyle w:val="List4"/>
      </w:pPr>
      <w:r>
        <w:t>(iii)</w:t>
      </w:r>
      <w:r>
        <w:tab/>
        <w:t xml:space="preserve">Stone; </w:t>
      </w:r>
    </w:p>
    <w:p w14:paraId="3DD8EDC1" w14:textId="77777777" w:rsidR="006B50BD" w:rsidRDefault="006B50BD" w:rsidP="006B50BD">
      <w:pPr>
        <w:pStyle w:val="List4"/>
      </w:pPr>
      <w:r>
        <w:t>(iv)</w:t>
      </w:r>
      <w:r>
        <w:tab/>
        <w:t xml:space="preserve">Architectural precast concrete; and </w:t>
      </w:r>
    </w:p>
    <w:p w14:paraId="4625D643" w14:textId="77777777" w:rsidR="006B50BD" w:rsidRDefault="006B50BD" w:rsidP="006B50BD">
      <w:pPr>
        <w:pStyle w:val="List4"/>
      </w:pPr>
      <w:r>
        <w:t>(v)</w:t>
      </w:r>
      <w:r>
        <w:tab/>
        <w:t xml:space="preserve">Natural wood and/or cement-based wood siding. </w:t>
      </w:r>
    </w:p>
    <w:p w14:paraId="34999751" w14:textId="77777777" w:rsidR="006B50BD" w:rsidRDefault="006B50BD" w:rsidP="006B50BD">
      <w:pPr>
        <w:pStyle w:val="List3"/>
      </w:pPr>
      <w:r>
        <w:t>b.</w:t>
      </w:r>
      <w:r>
        <w:tab/>
        <w:t xml:space="preserve">There shall be no more than two building materials used (not including trim/accent materials). </w:t>
      </w:r>
    </w:p>
    <w:p w14:paraId="7FA0DED7" w14:textId="77777777" w:rsidR="0065371E" w:rsidRDefault="0065371E"/>
    <w:sectPr w:rsidR="00653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D4B83" w14:textId="77777777" w:rsidR="00B54485" w:rsidRDefault="00B54485" w:rsidP="003858D7">
      <w:pPr>
        <w:spacing w:after="0" w:line="240" w:lineRule="auto"/>
      </w:pPr>
      <w:r>
        <w:separator/>
      </w:r>
    </w:p>
  </w:endnote>
  <w:endnote w:type="continuationSeparator" w:id="0">
    <w:p w14:paraId="1ED2F277" w14:textId="77777777" w:rsidR="00B54485" w:rsidRDefault="00B54485" w:rsidP="0038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FD80" w14:textId="77777777" w:rsidR="003858D7" w:rsidRDefault="00385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70AB" w14:textId="77777777" w:rsidR="003858D7" w:rsidRDefault="00385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680F" w14:textId="77777777" w:rsidR="003858D7" w:rsidRDefault="00385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CFB6" w14:textId="77777777" w:rsidR="00B54485" w:rsidRDefault="00B54485" w:rsidP="003858D7">
      <w:pPr>
        <w:spacing w:after="0" w:line="240" w:lineRule="auto"/>
      </w:pPr>
      <w:r>
        <w:separator/>
      </w:r>
    </w:p>
  </w:footnote>
  <w:footnote w:type="continuationSeparator" w:id="0">
    <w:p w14:paraId="6ACF0E55" w14:textId="77777777" w:rsidR="00B54485" w:rsidRDefault="00B54485" w:rsidP="0038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B357" w14:textId="77777777" w:rsidR="003858D7" w:rsidRDefault="00385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ED0" w14:textId="0D5B81F9" w:rsidR="003858D7" w:rsidRDefault="00385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A17E" w14:textId="77777777" w:rsidR="003858D7" w:rsidRDefault="00385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BD"/>
    <w:rsid w:val="001D27BC"/>
    <w:rsid w:val="003858D7"/>
    <w:rsid w:val="00440ED0"/>
    <w:rsid w:val="005B010D"/>
    <w:rsid w:val="0065371E"/>
    <w:rsid w:val="006B50BD"/>
    <w:rsid w:val="006E6502"/>
    <w:rsid w:val="00A07B59"/>
    <w:rsid w:val="00A77F2E"/>
    <w:rsid w:val="00AA7558"/>
    <w:rsid w:val="00B23D02"/>
    <w:rsid w:val="00B43C3D"/>
    <w:rsid w:val="00B54485"/>
    <w:rsid w:val="00BE0DAA"/>
    <w:rsid w:val="00BF5A47"/>
    <w:rsid w:val="00CC7DCA"/>
    <w:rsid w:val="00EA3FA2"/>
    <w:rsid w:val="00E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A852C0"/>
  <w15:chartTrackingRefBased/>
  <w15:docId w15:val="{6AC8A8CA-9488-40E0-8A2E-A16AD08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5" w:unhideWhenUsed="1" w:qFormat="1"/>
    <w:lsdException w:name="List 3" w:semiHidden="1" w:uiPriority="5" w:unhideWhenUsed="1" w:qFormat="1"/>
    <w:lsdException w:name="List 4" w:semiHidden="1" w:uiPriority="5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Heading1"/>
    <w:next w:val="Normal"/>
    <w:uiPriority w:val="1"/>
    <w:qFormat/>
    <w:rsid w:val="006B50BD"/>
    <w:pPr>
      <w:spacing w:before="180" w:after="120" w:line="276" w:lineRule="auto"/>
      <w:ind w:left="950" w:hanging="950"/>
      <w:outlineLvl w:val="5"/>
    </w:pPr>
    <w:rPr>
      <w:rFonts w:ascii="Calibri" w:eastAsiaTheme="minorHAnsi" w:hAnsi="Calibri" w:cstheme="minorBidi"/>
      <w:b/>
      <w:color w:val="auto"/>
      <w:sz w:val="24"/>
    </w:rPr>
  </w:style>
  <w:style w:type="paragraph" w:customStyle="1" w:styleId="List1">
    <w:name w:val="List 1"/>
    <w:basedOn w:val="Normal"/>
    <w:uiPriority w:val="5"/>
    <w:qFormat/>
    <w:rsid w:val="006B50BD"/>
    <w:pPr>
      <w:spacing w:before="40" w:after="120" w:line="240" w:lineRule="auto"/>
      <w:ind w:left="475" w:hanging="475"/>
    </w:pPr>
    <w:rPr>
      <w:rFonts w:ascii="Calibri" w:hAnsi="Calibri"/>
      <w:sz w:val="20"/>
      <w:szCs w:val="24"/>
    </w:rPr>
  </w:style>
  <w:style w:type="paragraph" w:customStyle="1" w:styleId="HistoryNote">
    <w:name w:val="History Note"/>
    <w:basedOn w:val="Normal"/>
    <w:next w:val="Section"/>
    <w:uiPriority w:val="2"/>
    <w:qFormat/>
    <w:rsid w:val="006B50BD"/>
    <w:pPr>
      <w:spacing w:before="40" w:after="240" w:line="240" w:lineRule="auto"/>
    </w:pPr>
    <w:rPr>
      <w:rFonts w:ascii="Calibri" w:hAnsi="Calibri"/>
      <w:sz w:val="20"/>
      <w:szCs w:val="24"/>
    </w:rPr>
  </w:style>
  <w:style w:type="paragraph" w:styleId="List2">
    <w:name w:val="List 2"/>
    <w:basedOn w:val="List1"/>
    <w:uiPriority w:val="5"/>
    <w:qFormat/>
    <w:rsid w:val="006B50BD"/>
    <w:pPr>
      <w:ind w:left="950"/>
    </w:pPr>
  </w:style>
  <w:style w:type="paragraph" w:styleId="List3">
    <w:name w:val="List 3"/>
    <w:basedOn w:val="List2"/>
    <w:uiPriority w:val="5"/>
    <w:unhideWhenUsed/>
    <w:qFormat/>
    <w:rsid w:val="006B50BD"/>
    <w:pPr>
      <w:ind w:left="1425"/>
    </w:pPr>
  </w:style>
  <w:style w:type="paragraph" w:styleId="List4">
    <w:name w:val="List 4"/>
    <w:basedOn w:val="List3"/>
    <w:uiPriority w:val="5"/>
    <w:unhideWhenUsed/>
    <w:qFormat/>
    <w:rsid w:val="006B50BD"/>
    <w:pPr>
      <w:ind w:left="1915"/>
    </w:pPr>
  </w:style>
  <w:style w:type="character" w:customStyle="1" w:styleId="Heading1Char">
    <w:name w:val="Heading 1 Char"/>
    <w:basedOn w:val="DefaultParagraphFont"/>
    <w:link w:val="Heading1"/>
    <w:uiPriority w:val="9"/>
    <w:rsid w:val="006B5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D7"/>
  </w:style>
  <w:style w:type="paragraph" w:styleId="Footer">
    <w:name w:val="footer"/>
    <w:basedOn w:val="Normal"/>
    <w:link w:val="FooterChar"/>
    <w:uiPriority w:val="99"/>
    <w:unhideWhenUsed/>
    <w:rsid w:val="0038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0C597-1BE3-4791-822E-9A86997B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08139-1042-45A6-9A10-6A17F7BE3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25084-8D1E-462A-9191-AE40879E9664}">
  <ds:schemaRefs>
    <ds:schemaRef ds:uri="5fa40289-e67e-4164-a41a-33400b4e331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c4c007-b448-4679-bc3c-ec5d8fa78e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Dina Rimi</cp:lastModifiedBy>
  <cp:revision>2</cp:revision>
  <cp:lastPrinted>2021-09-29T19:47:00Z</cp:lastPrinted>
  <dcterms:created xsi:type="dcterms:W3CDTF">2022-05-04T19:12:00Z</dcterms:created>
  <dcterms:modified xsi:type="dcterms:W3CDTF">2022-05-04T19:12:00Z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